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Aftab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ADICET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DARTMOUTH STREET, FLOOR 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Adicet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ACET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72,555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72,555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72,555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(1) 1/48th of the shares shall vest on each of the next forty-eight (48) monthly anniversaries of the grant date, provided that the Reporting Person maintains a service relationship with the Issuer as of the applicable vesting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Nick Harvey,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986" TargetMode="External"/><Relationship Id="rId5" Type="http://schemas.openxmlformats.org/officeDocument/2006/relationships/hyperlink" Target="http://www.sec.gov/cgi-bin/browse-edgar?action=getcompany&amp;CIK=00017205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3307</Characters>
  <CharactersWithSpaces>3855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