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Adicet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1,182,624.00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1,182,624.00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1,182,624.00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1,182,624.00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1,182,624.00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1,182,624.00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12.3 %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1,182,624.00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1,182,624.00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1,182,624.00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1,182,624.00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1,182,624.00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1,182,624.00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9920"/>
          </w:cols>
          <w:pgMar w:left="360" w:top="126" w:right="4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Adicet 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131 Dartmouth Street, Floor 3, Boston, MA, 02116.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2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report (collectively, the "Reporting Persons") are: RA Capital Management, L.P. ("RA Capital") Peter Kolchinsky Rajeev Shah RA Capital Healthcare Fund, L.P. (the "Fund") The Reporting Persons expressly disclaim status as a "group" for purposes of this Schedule 13G/A.</w:t>
      </w:r>
    </w:p>
    <w:p>
      <w:pPr>
        <w:sectPr>
          <w:pgSz w:w="11900" w:h="16838" w:orient="portrait"/>
          <w:cols w:equalWidth="0" w:num="1">
            <w:col w:w="11040"/>
          </w:cols>
          <w:pgMar w:left="360" w:top="126" w:right="499" w:bottom="0" w:gutter="0" w:footer="0" w:header="0"/>
          <w:type w:val="continuous"/>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c/o RA Capital Management, L.P., 200 Berkeley Street, 18th Floor, Boston MA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RA Capital and the Fund are Delaware limited partnerships. Dr. Kolchinsky and Mr. Shah are United States citizens.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ectPr>
          <w:pgSz w:w="11900" w:h="16838" w:orient="portrait"/>
          <w:cols w:equalWidth="0" w:num="2">
            <w:col w:w="620" w:space="300"/>
            <w:col w:w="10120"/>
          </w:cols>
          <w:pgMar w:left="360" w:top="126" w:right="499" w:bottom="0" w:gutter="0" w:footer="0" w:header="0"/>
          <w:type w:val="continuous"/>
        </w:sectPr>
      </w:pPr>
    </w:p>
    <w:bookmarkStart w:id="4" w:name="page5"/>
    <w:bookmarkEnd w:id="4"/>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Row 9 of each Reporting Person's cover page to this Schedule 13G/A sets forth the aggregate number of shares of common stock of the Issuer beneficially owned by such Reporting Person and is incorporated by reference. The Fund directly holds (i) 1,182,624 shares of common stock, and (ii) pre-funded warrants (the "Pre- Funded Warrants") exercisable for an aggregate of up to 1,152,833 shares of common stock. The Pre-Funded Warrants contain a provision (the "Beneficial Ownership Blocker"), which precludes the exercise of the Pre-Funded Warrants to the extent that, following exercise, the Fund, together with its affiliates and other attribution parties, would own more than 9.99% of the common stock outstanding. The Fund is currently prohibited from exercising the Pre-Funded Warrants by virtue of the Beneficial Ownership Blocker. RA Capital Healthcare Fund GP, LLC is the general partner of the Fund. The general partner of RA Capital is RA Capital Management GP, LLC, of which Dr. Kolchinsky and</w:t>
      </w:r>
    </w:p>
    <w:p>
      <w:pPr>
        <w:spacing w:after="0" w:line="1" w:lineRule="exact"/>
        <w:rPr>
          <w:sz w:val="20"/>
          <w:szCs w:val="20"/>
          <w:color w:val="auto"/>
        </w:rPr>
      </w:pPr>
    </w:p>
    <w:p>
      <w:pPr>
        <w:ind w:left="920" w:right="60" w:hanging="912"/>
        <w:spacing w:after="0" w:line="231"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13G/A other than for the purpose of determining their obligations under Section 13(d) of the Act, and the filing of this Schedule 13G/A shall not be deemed an admission that either RA Capital, Dr. Kolchinsky, or Mr. Shah is the beneficial owner of such securities for any other purpose.</w:t>
      </w:r>
    </w:p>
    <w:p>
      <w:pPr>
        <w:spacing w:after="0" w:line="2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Row 11 of each Reporting Person's cover page to this Schedule 13G/A sets forth the percentages of the shares of</w:t>
      </w:r>
    </w:p>
    <w:p>
      <w:pPr>
        <w:spacing w:after="0" w:line="14" w:lineRule="exact"/>
        <w:rPr>
          <w:rFonts w:ascii="Times New Roman" w:cs="Times New Roman" w:eastAsia="Times New Roman" w:hAnsi="Times New Roman"/>
          <w:sz w:val="22"/>
          <w:szCs w:val="22"/>
          <w:color w:val="auto"/>
        </w:rPr>
      </w:pPr>
    </w:p>
    <w:p>
      <w:pPr>
        <w:ind w:left="920" w:right="280" w:hanging="912"/>
        <w:spacing w:after="0" w:line="23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of the Issuer beneficially owned by such Reporting Person and is incorporated by reference. The percentage set forth in each row 11 is based upon 9,596,407 shares of common stock outstanding as of March 10, 2026, as reported in the Issuer's Annual Report on Form 10-K filed with the Securities and Exchange Commission (the "SEC") on March 12, 2026.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0"/>
        <w:spacing w:after="0" w:line="258" w:lineRule="auto"/>
        <w:rPr>
          <w:sz w:val="20"/>
          <w:szCs w:val="20"/>
          <w:color w:val="auto"/>
        </w:rPr>
      </w:pPr>
      <w:r>
        <w:rPr>
          <w:rFonts w:ascii="Times New Roman" w:cs="Times New Roman" w:eastAsia="Times New Roman" w:hAnsi="Times New Roman"/>
          <w:sz w:val="22"/>
          <w:szCs w:val="22"/>
          <w:color w:val="auto"/>
        </w:rPr>
        <w:t>Row 5 of each Reporting Person's cover page to this Schedule 13G/A sets forth the sole power to vote or to direct the vote of securities of the Issuer beneficially owned by such Reporting Person and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120"/>
        <w:spacing w:after="0" w:line="282" w:lineRule="auto"/>
        <w:rPr>
          <w:sz w:val="20"/>
          <w:szCs w:val="20"/>
          <w:color w:val="auto"/>
        </w:rPr>
      </w:pPr>
      <w:r>
        <w:rPr>
          <w:rFonts w:ascii="Times New Roman" w:cs="Times New Roman" w:eastAsia="Times New Roman" w:hAnsi="Times New Roman"/>
          <w:sz w:val="21"/>
          <w:szCs w:val="21"/>
          <w:color w:val="auto"/>
        </w:rPr>
        <w:t>Row 6 of each Reporting Person's cover page to this Schedule 13G/A sets forth the shared power to vote or to direct the vote of securities of the Issuer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60"/>
        <w:spacing w:after="0" w:line="244" w:lineRule="auto"/>
        <w:rPr>
          <w:sz w:val="20"/>
          <w:szCs w:val="20"/>
          <w:color w:val="auto"/>
        </w:rPr>
      </w:pPr>
      <w:r>
        <w:rPr>
          <w:rFonts w:ascii="Times New Roman" w:cs="Times New Roman" w:eastAsia="Times New Roman" w:hAnsi="Times New Roman"/>
          <w:sz w:val="22"/>
          <w:szCs w:val="22"/>
          <w:color w:val="auto"/>
        </w:rPr>
        <w:t>Row 7 of each Reporting Person's cover page to this Schedule 13G/A sets forth the sole power to dispose or to direct the disposition of securities of the Issuer beneficially owned by such Reporting Person and is incorporated by reference.</w:t>
      </w:r>
    </w:p>
    <w:p>
      <w:pPr>
        <w:sectPr>
          <w:pgSz w:w="11900" w:h="16838" w:orient="portrait"/>
          <w:cols w:equalWidth="0" w:num="1">
            <w:col w:w="11080"/>
          </w:cols>
          <w:pgMar w:left="360" w:top="126" w:right="459"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4"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13G/A sets forth the shared power to dispose or to direct the disposition of securities of the Issuer beneficially owned by such Reporting Person and is incorporated by reference.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04/13/2026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04/13/2026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04/13/2026</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04/13/2026</w:t>
      </w:r>
    </w:p>
    <w:p>
      <w:pPr>
        <w:spacing w:after="0" w:line="10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 (incorporated by reference to Exhibit 1 to Schedule 13G/A filed on November 14, 2024)</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2026-04-13T16:32:42Z</dcterms:created>
  <dcterms:modified xsi:type="dcterms:W3CDTF">2026-04-13T16:32:42Z</dcterms:modified>
</cp:coreProperties>
</file>