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Adicet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001-38359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81-3305277</w:t>
            </w:r>
          </w:p>
        </w:tc>
      </w:tr>
      <w:tr>
        <w:trPr>
          <w:trHeight w:val="149"/>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131 Dartmouth Street, Floor 3</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78"/>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503-9095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ACET</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April 27, 2026, Adicet Bio, Inc. (the Company) entered into an exchange agreement with RA Capital Management, L.P. and RA Capital Healthcare Fund, L.P. (together, RA Capital) pursuant to which RA Capital exchanged 250,000 shares of the Company’s common stock, par value $0.0001 per share (Common Stock) for a pre-funded warrant (the Pre-Funded Warrant) to acquire 250,000 shares of Common Stock.</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Pre-Funded Warrant has an exercise price of $0.0001 per share. The exercise price and the number of shares of Common Stock issuable upon exercise of the Pre-Funded Warrant is subject to appropriate adjustments in the event of certain stock dividends and distributions, stock splits, stock combinations, reclassifications or similar events affecting the Common Stock. The Pre-Funded Warrant is exercisable from the date of issuance by means of a cashless exercise. Under the Pre-Funded Warrant, the Company may not effect the exercise of the Pre-Funded Warrant, and a holder will not be entitled to exercise any portion of the Pre-Funded Warrant that, upon giving effect to such exercise, would cause: (i) the aggregate number of shares of Common Stock beneficially owned by the holder (together with its affiliates) to exceed 9.99% of the number of shares of Common Stock outstanding immediately after giving effect to the exercise, or (ii) the combined voting power of the Company’s securities beneficially owned by the holder (together with its affiliates) to exceed 9.99% of the combined voting power of all of the Company’s securities then outstanding immediately after giving effect to the exercise, as such percentage ownership is determined in accordance with the terms of the Pre-Funded Warrant, unless such percentage is increased upon at least 61 days’ prior notice, but not in excess of 19.99%.</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issued the Pre-Funded Warrant without registration in reliance on the exemption from registration contained in Section 3(a)(9) of the Securities Act of 1933, as amended.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form of Pre-Funded Warrant is filed as Exhibit 4.1 hereto and is incorporated herein by reference. The foregoing description does not purport to be complete and is qualified in its entirety by reference to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040" w:type="dxa"/>
            <w:vAlign w:val="bottom"/>
            <w:gridSpan w:val="2"/>
          </w:tcPr>
          <w:p>
            <w:pPr>
              <w:spacing w:after="0"/>
              <w:rPr>
                <w:sz w:val="18"/>
                <w:szCs w:val="18"/>
                <w:color w:val="auto"/>
              </w:rPr>
            </w:pPr>
          </w:p>
        </w:tc>
      </w:tr>
      <w:tr>
        <w:trPr>
          <w:trHeight w:val="30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Pre-Funded Warrant</w:t>
            </w:r>
          </w:p>
        </w:tc>
      </w:tr>
      <w:tr>
        <w:trPr>
          <w:trHeight w:val="20"/>
        </w:trPr>
        <w:tc>
          <w:tcPr>
            <w:tcW w:w="1300" w:type="dxa"/>
            <w:vAlign w:val="bottom"/>
          </w:tcPr>
          <w:p>
            <w:pPr>
              <w:spacing w:after="0" w:line="20" w:lineRule="exact"/>
              <w:rPr>
                <w:sz w:val="1"/>
                <w:szCs w:val="1"/>
                <w:color w:val="auto"/>
              </w:rPr>
            </w:pPr>
          </w:p>
        </w:tc>
        <w:tc>
          <w:tcPr>
            <w:tcW w:w="2120" w:type="dxa"/>
            <w:vAlign w:val="bottom"/>
            <w:tcBorders>
              <w:right w:val="single" w:sz="8" w:color="0000EE"/>
            </w:tcBorders>
            <w:gridSpan w:val="2"/>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34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27"/>
        </w:trPr>
        <w:tc>
          <w:tcPr>
            <w:tcW w:w="1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ADICET BIO,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Harvey</w:t>
            </w:r>
          </w:p>
        </w:tc>
      </w:tr>
      <w:tr>
        <w:trPr>
          <w:trHeight w:val="189"/>
        </w:trPr>
        <w:tc>
          <w:tcPr>
            <w:tcW w:w="3500" w:type="dxa"/>
            <w:vAlign w:val="bottom"/>
          </w:tcPr>
          <w:p>
            <w:pPr>
              <w:spacing w:after="0"/>
              <w:rPr>
                <w:sz w:val="16"/>
                <w:szCs w:val="16"/>
                <w:color w:val="auto"/>
              </w:rPr>
            </w:pPr>
          </w:p>
        </w:tc>
        <w:tc>
          <w:tcPr>
            <w:tcW w:w="270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Nick Harvey</w:t>
            </w:r>
          </w:p>
        </w:tc>
      </w:tr>
      <w:tr>
        <w:trPr>
          <w:trHeight w:val="236"/>
        </w:trPr>
        <w:tc>
          <w:tcPr>
            <w:tcW w:w="3500" w:type="dxa"/>
            <w:vAlign w:val="bottom"/>
          </w:tcPr>
          <w:p>
            <w:pPr>
              <w:spacing w:after="0"/>
              <w:rPr>
                <w:sz w:val="20"/>
                <w:szCs w:val="20"/>
                <w:color w:val="auto"/>
              </w:rPr>
            </w:pP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Pre-Funded Warrant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ADICET 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 TO PURCHASE COMMON STOCK</w:t>
      </w:r>
    </w:p>
    <w:p>
      <w:pPr>
        <w:spacing w:after="0" w:line="21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1"/>
          <w:szCs w:val="21"/>
          <w:color w:val="auto"/>
        </w:rPr>
        <w:t>Number of Shares: [_________] (subject to adjustment)</w:t>
      </w:r>
    </w:p>
    <w:p>
      <w:pPr>
        <w:spacing w:after="0" w:line="24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2"/>
          <w:szCs w:val="22"/>
          <w:color w:val="auto"/>
        </w:rPr>
        <w:t>Warrant No. [___]</w:t>
      </w:r>
      <w:r>
        <w:rPr>
          <w:sz w:val="20"/>
          <w:szCs w:val="20"/>
          <w:color w:val="auto"/>
        </w:rPr>
        <w:tab/>
      </w:r>
      <w:r>
        <w:rPr>
          <w:rFonts w:ascii="Times New Roman" w:cs="Times New Roman" w:eastAsia="Times New Roman" w:hAnsi="Times New Roman"/>
          <w:sz w:val="21"/>
          <w:szCs w:val="21"/>
          <w:color w:val="auto"/>
        </w:rPr>
        <w:t>Original Issue Date: [___], 2026</w:t>
      </w:r>
    </w:p>
    <w:p>
      <w:pPr>
        <w:spacing w:after="0" w:line="20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21"/>
          <w:szCs w:val="21"/>
          <w:color w:val="auto"/>
        </w:rPr>
        <w:t>Adicet Bio,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hereby certifies that, for good and valuable consideration, the receipt and sufficiency of which are hereby acknowledged, [___________] or its registered assigns (the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is entitled,</w:t>
      </w:r>
    </w:p>
    <w:p>
      <w:pPr>
        <w:spacing w:after="0" w:line="231" w:lineRule="auto"/>
        <w:rPr>
          <w:sz w:val="20"/>
          <w:szCs w:val="20"/>
          <w:color w:val="auto"/>
        </w:rPr>
      </w:pPr>
      <w:r>
        <w:rPr>
          <w:rFonts w:ascii="Times New Roman" w:cs="Times New Roman" w:eastAsia="Times New Roman" w:hAnsi="Times New Roman"/>
          <w:sz w:val="22"/>
          <w:szCs w:val="22"/>
          <w:color w:val="auto"/>
        </w:rPr>
        <w:t>subject to the terms set forth below, to purchase from the Company up to a total of [______] shares of common stock, $0.0001</w:t>
      </w:r>
    </w:p>
    <w:p>
      <w:pPr>
        <w:ind w:right="180"/>
        <w:spacing w:after="0" w:line="233" w:lineRule="auto"/>
        <w:rPr>
          <w:sz w:val="20"/>
          <w:szCs w:val="20"/>
          <w:color w:val="auto"/>
        </w:rPr>
      </w:pPr>
      <w:r>
        <w:rPr>
          <w:rFonts w:ascii="Times New Roman" w:cs="Times New Roman" w:eastAsia="Times New Roman" w:hAnsi="Times New Roman"/>
          <w:sz w:val="22"/>
          <w:szCs w:val="22"/>
          <w:color w:val="auto"/>
        </w:rPr>
        <w:t>par value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of the Company (each such share, a “</w:t>
      </w:r>
      <w:r>
        <w:rPr>
          <w:rFonts w:ascii="Times New Roman" w:cs="Times New Roman" w:eastAsia="Times New Roman" w:hAnsi="Times New Roman"/>
          <w:sz w:val="22"/>
          <w:szCs w:val="22"/>
          <w:b w:val="1"/>
          <w:bCs w:val="1"/>
          <w:color w:val="auto"/>
        </w:rPr>
        <w:t>Warrant Share</w:t>
      </w:r>
      <w:r>
        <w:rPr>
          <w:rFonts w:ascii="Times New Roman" w:cs="Times New Roman" w:eastAsia="Times New Roman" w:hAnsi="Times New Roman"/>
          <w:sz w:val="22"/>
          <w:szCs w:val="22"/>
          <w:color w:val="auto"/>
        </w:rPr>
        <w:t>” and all such shares,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 at an exercise price per share equal to $0.0001 per share (as adjusted from time to time as provided in Section 9 herein,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upon surrender of this Warrant to Purchase Common Stock (including any Warrants to Purchase Common Stock issued in exchange, transfer or replacement hereof,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at any time and from time to time on or after the date hereof (the “</w:t>
      </w:r>
      <w:r>
        <w:rPr>
          <w:rFonts w:ascii="Times New Roman" w:cs="Times New Roman" w:eastAsia="Times New Roman" w:hAnsi="Times New Roman"/>
          <w:sz w:val="22"/>
          <w:szCs w:val="22"/>
          <w:b w:val="1"/>
          <w:bCs w:val="1"/>
          <w:color w:val="auto"/>
        </w:rPr>
        <w:t>Original Issue Date</w:t>
      </w:r>
      <w:r>
        <w:rPr>
          <w:rFonts w:ascii="Times New Roman" w:cs="Times New Roman" w:eastAsia="Times New Roman" w:hAnsi="Times New Roman"/>
          <w:sz w:val="22"/>
          <w:szCs w:val="22"/>
          <w:color w:val="auto"/>
        </w:rPr>
        <w:t>”), subject to the following terms and conditions:</w:t>
      </w:r>
    </w:p>
    <w:p>
      <w:pPr>
        <w:spacing w:after="0" w:line="175" w:lineRule="exact"/>
        <w:rPr>
          <w:sz w:val="20"/>
          <w:szCs w:val="20"/>
          <w:color w:val="auto"/>
        </w:rPr>
      </w:pPr>
    </w:p>
    <w:p>
      <w:pPr>
        <w:ind w:left="1180" w:hanging="423"/>
        <w:spacing w:after="0"/>
        <w:tabs>
          <w:tab w:leader="none" w:pos="11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For purposes of this Warrant, the following terms shall have the following meanings:</w:t>
      </w:r>
    </w:p>
    <w:p>
      <w:pPr>
        <w:spacing w:after="0" w:line="206" w:lineRule="exact"/>
        <w:rPr>
          <w:rFonts w:ascii="Times New Roman" w:cs="Times New Roman" w:eastAsia="Times New Roman" w:hAnsi="Times New Roman"/>
          <w:sz w:val="22"/>
          <w:szCs w:val="22"/>
          <w:color w:val="auto"/>
        </w:rPr>
      </w:pPr>
    </w:p>
    <w:p>
      <w:pPr>
        <w:jc w:val="both"/>
        <w:ind w:right="400" w:firstLine="1505"/>
        <w:spacing w:after="0" w:line="246" w:lineRule="auto"/>
        <w:tabs>
          <w:tab w:leader="none" w:pos="192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directly or indirectly controlled by, controlling or under common control with, a Holder, as such terms are used in and construed under Rule 405 under the Securities Act, but only for so long as such control shall continue.</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rFonts w:ascii="Times New Roman" w:cs="Times New Roman" w:eastAsia="Times New Roman" w:hAnsi="Times New Roman"/>
          <w:sz w:val="22"/>
          <w:szCs w:val="22"/>
          <w:color w:val="auto"/>
        </w:rPr>
      </w:pPr>
    </w:p>
    <w:p>
      <w:pPr>
        <w:ind w:right="20" w:firstLine="1505"/>
        <w:spacing w:after="0" w:line="245" w:lineRule="auto"/>
        <w:tabs>
          <w:tab w:leader="none" w:pos="1929"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Sale Price</w:t>
      </w:r>
      <w:r>
        <w:rPr>
          <w:rFonts w:ascii="Times New Roman" w:cs="Times New Roman" w:eastAsia="Times New Roman" w:hAnsi="Times New Roman"/>
          <w:sz w:val="21"/>
          <w:szCs w:val="21"/>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183" w:hanging="435"/>
        <w:spacing w:after="0"/>
        <w:tabs>
          <w:tab w:leader="none" w:pos="118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Marketable Securities</w:t>
      </w:r>
      <w:r>
        <w:rPr>
          <w:rFonts w:ascii="Times New Roman" w:cs="Times New Roman" w:eastAsia="Times New Roman" w:hAnsi="Times New Roman"/>
          <w:sz w:val="22"/>
          <w:szCs w:val="22"/>
          <w:color w:val="auto"/>
        </w:rPr>
        <w:t>” means securities meeting all of the following requirements:</w:t>
      </w:r>
    </w:p>
    <w:p>
      <w:pPr>
        <w:spacing w:after="0" w:line="210" w:lineRule="exact"/>
        <w:rPr>
          <w:rFonts w:ascii="Times New Roman" w:cs="Times New Roman" w:eastAsia="Times New Roman" w:hAnsi="Times New Roman"/>
          <w:sz w:val="22"/>
          <w:szCs w:val="22"/>
          <w:color w:val="auto"/>
        </w:rPr>
      </w:pPr>
    </w:p>
    <w:p>
      <w:pPr>
        <w:ind w:left="-757" w:right="60" w:firstLine="2254"/>
        <w:spacing w:after="0" w:line="234" w:lineRule="auto"/>
        <w:tabs>
          <w:tab w:leader="none" w:pos="1921"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thereof is then subject to the reporting requirements of Section 13 or Section 15(d)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w:t>
      </w:r>
    </w:p>
    <w:p>
      <w:pPr>
        <w:spacing w:after="0" w:line="179" w:lineRule="exact"/>
        <w:rPr>
          <w:rFonts w:ascii="Times New Roman" w:cs="Times New Roman" w:eastAsia="Times New Roman" w:hAnsi="Times New Roman"/>
          <w:sz w:val="22"/>
          <w:szCs w:val="22"/>
          <w:color w:val="auto"/>
        </w:rPr>
      </w:pPr>
    </w:p>
    <w:p>
      <w:pPr>
        <w:ind w:left="-757" w:right="20" w:firstLine="1505"/>
        <w:spacing w:after="0" w:line="262" w:lineRule="auto"/>
        <w:tabs>
          <w:tab w:leader="none" w:pos="117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Trading Market</w:t>
      </w:r>
      <w:r>
        <w:rPr>
          <w:rFonts w:ascii="Times New Roman" w:cs="Times New Roman" w:eastAsia="Times New Roman" w:hAnsi="Times New Roman"/>
          <w:sz w:val="22"/>
          <w:szCs w:val="22"/>
          <w:color w:val="auto"/>
        </w:rPr>
        <w:t>” means the national securities exchange or other trading market on which the Common Stock is primarily listed on and quoted for trading, which, as of the Original Issue Date, shall be the Nasdaq.</w:t>
      </w:r>
    </w:p>
    <w:p>
      <w:pPr>
        <w:spacing w:after="0" w:line="149"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ind w:left="-757" w:right="20" w:firstLine="1505"/>
        <w:spacing w:after="0" w:line="241" w:lineRule="auto"/>
        <w:tabs>
          <w:tab w:leader="none" w:pos="117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71" w:lineRule="exact"/>
        <w:rPr>
          <w:rFonts w:ascii="Times New Roman" w:cs="Times New Roman" w:eastAsia="Times New Roman" w:hAnsi="Times New Roman"/>
          <w:sz w:val="22"/>
          <w:szCs w:val="22"/>
          <w:color w:val="auto"/>
        </w:rPr>
      </w:pPr>
    </w:p>
    <w:p>
      <w:pPr>
        <w:ind w:left="-757" w:right="720" w:firstLine="1505"/>
        <w:spacing w:after="0" w:line="262" w:lineRule="auto"/>
        <w:tabs>
          <w:tab w:leader="none" w:pos="117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Computershare Trust Company, N.A., the Company’s transfer agent and registrar for the Common Stock, and any successor appointed in such capacity.</w:t>
      </w:r>
    </w:p>
    <w:p>
      <w:pPr>
        <w:spacing w:after="0" w:line="149" w:lineRule="exact"/>
        <w:rPr>
          <w:rFonts w:ascii="Times New Roman" w:cs="Times New Roman" w:eastAsia="Times New Roman" w:hAnsi="Times New Roman"/>
          <w:sz w:val="22"/>
          <w:szCs w:val="22"/>
          <w:color w:val="auto"/>
        </w:rPr>
      </w:pPr>
    </w:p>
    <w:p>
      <w:pPr>
        <w:ind w:left="-757" w:firstLine="757"/>
        <w:spacing w:after="0" w:line="238" w:lineRule="auto"/>
        <w:tabs>
          <w:tab w:leader="none" w:pos="42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Securities; Registration of Warrants</w:t>
      </w:r>
      <w:r>
        <w:rPr>
          <w:rFonts w:ascii="Times New Roman" w:cs="Times New Roman" w:eastAsia="Times New Roman" w:hAnsi="Times New Roman"/>
          <w:sz w:val="22"/>
          <w:szCs w:val="22"/>
          <w:color w:val="auto"/>
        </w:rPr>
        <w:t>. The Company shall register ownership of this Warrant,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records to be maintained by the Company for that purpose (the “</w:t>
      </w:r>
      <w:r>
        <w:rPr>
          <w:rFonts w:ascii="Times New Roman" w:cs="Times New Roman" w:eastAsia="Times New Roman" w:hAnsi="Times New Roman"/>
          <w:sz w:val="22"/>
          <w:szCs w:val="22"/>
          <w:b w:val="1"/>
          <w:bCs w:val="1"/>
          <w:color w:val="auto"/>
        </w:rPr>
        <w:t>Warrant Register</w:t>
      </w:r>
      <w:r>
        <w:rPr>
          <w:rFonts w:ascii="Times New Roman" w:cs="Times New Roman" w:eastAsia="Times New Roman" w:hAnsi="Times New Roman"/>
          <w:sz w:val="22"/>
          <w:szCs w:val="22"/>
          <w:color w:val="auto"/>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6" w:lineRule="exact"/>
        <w:rPr>
          <w:rFonts w:ascii="Times New Roman" w:cs="Times New Roman" w:eastAsia="Times New Roman" w:hAnsi="Times New Roman"/>
          <w:sz w:val="22"/>
          <w:szCs w:val="22"/>
          <w:color w:val="auto"/>
        </w:rPr>
      </w:pPr>
    </w:p>
    <w:p>
      <w:pPr>
        <w:ind w:left="-757" w:right="220" w:firstLine="757"/>
        <w:spacing w:after="0" w:line="237" w:lineRule="auto"/>
        <w:tabs>
          <w:tab w:leader="none" w:pos="42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of Transfers</w:t>
      </w:r>
      <w:r>
        <w:rPr>
          <w:rFonts w:ascii="Times New Roman" w:cs="Times New Roman" w:eastAsia="Times New Roman" w:hAnsi="Times New Roman"/>
          <w:sz w:val="22"/>
          <w:szCs w:val="22"/>
          <w:color w:val="auto"/>
        </w:rPr>
        <w:t>. Subject to compliance with all applicable securities laws, the Company shall, or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22"/>
          <w:szCs w:val="22"/>
          <w:b w:val="1"/>
          <w:bCs w:val="1"/>
          <w:color w:val="auto"/>
        </w:rPr>
        <w:t>New Warrant</w:t>
      </w:r>
      <w:r>
        <w:rPr>
          <w:rFonts w:ascii="Times New Roman" w:cs="Times New Roman" w:eastAsia="Times New Roman" w:hAnsi="Times New Roman"/>
          <w:sz w:val="22"/>
          <w:szCs w:val="22"/>
          <w:color w:val="auto"/>
        </w:rPr>
        <w:t>”) evidencing the portion of this Warrant so transferred shall be issued to the transferee, and a New Warrant evidencing the remaining portion of this Warrant not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1010285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04" w:right="379" w:bottom="1440" w:gutter="0" w:footer="0" w:header="0"/>
        </w:sectPr>
      </w:pPr>
    </w:p>
    <w:bookmarkStart w:id="5" w:name="page6"/>
    <w:bookmarkEnd w:id="5"/>
    <w:p>
      <w:pPr>
        <w:ind w:right="20"/>
        <w:spacing w:after="0" w:line="236" w:lineRule="auto"/>
        <w:rPr>
          <w:sz w:val="20"/>
          <w:szCs w:val="20"/>
          <w:color w:val="auto"/>
        </w:rPr>
      </w:pPr>
      <w:r>
        <w:rPr>
          <w:rFonts w:ascii="Times New Roman" w:cs="Times New Roman" w:eastAsia="Times New Roman" w:hAnsi="Times New Roman"/>
          <w:sz w:val="22"/>
          <w:szCs w:val="22"/>
          <w:color w:val="auto"/>
        </w:rPr>
        <w:t>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77" w:lineRule="exact"/>
        <w:rPr>
          <w:sz w:val="20"/>
          <w:szCs w:val="20"/>
          <w:color w:val="auto"/>
        </w:rPr>
      </w:pPr>
    </w:p>
    <w:p>
      <w:pPr>
        <w:ind w:left="1180" w:hanging="423"/>
        <w:spacing w:after="0"/>
        <w:tabs>
          <w:tab w:leader="none" w:pos="11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and Duration of Warrants.</w:t>
      </w:r>
    </w:p>
    <w:p>
      <w:pPr>
        <w:spacing w:after="0" w:line="210" w:lineRule="exact"/>
        <w:rPr>
          <w:rFonts w:ascii="Times New Roman" w:cs="Times New Roman" w:eastAsia="Times New Roman" w:hAnsi="Times New Roman"/>
          <w:sz w:val="22"/>
          <w:szCs w:val="22"/>
          <w:color w:val="auto"/>
        </w:rPr>
      </w:pPr>
    </w:p>
    <w:p>
      <w:pPr>
        <w:ind w:right="560" w:firstLine="1505"/>
        <w:spacing w:after="0" w:line="258" w:lineRule="auto"/>
        <w:tabs>
          <w:tab w:leader="none" w:pos="192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this Warrant shall be exercisable by the registered Holder in the manner set forth in Section 10 at any time and from time to time on or after the Original Issue Date.</w:t>
      </w:r>
    </w:p>
    <w:p>
      <w:pPr>
        <w:spacing w:after="0" w:line="158" w:lineRule="exact"/>
        <w:rPr>
          <w:rFonts w:ascii="Times New Roman" w:cs="Times New Roman" w:eastAsia="Times New Roman" w:hAnsi="Times New Roman"/>
          <w:sz w:val="22"/>
          <w:szCs w:val="22"/>
          <w:color w:val="auto"/>
        </w:rPr>
      </w:pPr>
    </w:p>
    <w:p>
      <w:pPr>
        <w:ind w:right="120" w:firstLine="1505"/>
        <w:spacing w:after="0" w:line="234" w:lineRule="auto"/>
        <w:tabs>
          <w:tab w:leader="none" w:pos="192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may exercise this Warrant by delivering to the Company an exercise notice, in the form attached as Schedule 1 hereto (the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xml:space="preserve">”), completed and duly signed. The date on which such exercise notice is delivered to the Company (as determined in accordance with the notice provisions hereof) is an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cs="Times New Roman" w:eastAsia="Times New Roman" w:hAnsi="Times New Roman"/>
          <w:sz w:val="22"/>
          <w:szCs w:val="22"/>
          <w:b w:val="1"/>
          <w:bCs w:val="1"/>
          <w:color w:val="auto"/>
        </w:rPr>
        <w:t>The Holder and any assignee, by acceptance of this</w:t>
      </w:r>
    </w:p>
    <w:p>
      <w:pPr>
        <w:spacing w:after="0" w:line="2" w:lineRule="exact"/>
        <w:rPr>
          <w:rFonts w:ascii="Times New Roman" w:cs="Times New Roman" w:eastAsia="Times New Roman" w:hAnsi="Times New Roman"/>
          <w:sz w:val="22"/>
          <w:szCs w:val="22"/>
          <w:color w:val="auto"/>
        </w:rPr>
      </w:pPr>
    </w:p>
    <w:p>
      <w:pPr>
        <w:ind w:right="1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Warrant Shares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through its Deposit Withdrawal Agent Commission system, or if the Transfer Agent is not participating in the Fast Automated Securities Transfer Program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pacing w:after="0" w:line="187" w:lineRule="exact"/>
        <w:rPr>
          <w:rFonts w:ascii="Times New Roman" w:cs="Times New Roman" w:eastAsia="Times New Roman" w:hAnsi="Times New Roman"/>
          <w:sz w:val="22"/>
          <w:szCs w:val="22"/>
          <w:color w:val="auto"/>
        </w:rPr>
      </w:pPr>
    </w:p>
    <w:p>
      <w:pPr>
        <w:ind w:right="280" w:firstLine="1505"/>
        <w:spacing w:after="0" w:line="258" w:lineRule="auto"/>
        <w:tabs>
          <w:tab w:leader="none" w:pos="192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the close of the third (3rd) Trading Day after the Exercise Date, the Company fails to deliver to the Holder a certificate representing the required number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line="234" w:lineRule="auto"/>
        <w:rPr>
          <w:sz w:val="20"/>
          <w:szCs w:val="20"/>
          <w:color w:val="auto"/>
        </w:rPr>
      </w:pPr>
      <w:r>
        <w:rPr>
          <w:rFonts w:ascii="Times New Roman" w:cs="Times New Roman" w:eastAsia="Times New Roman" w:hAnsi="Times New Roman"/>
          <w:sz w:val="22"/>
          <w:szCs w:val="22"/>
          <w:color w:val="auto"/>
        </w:rPr>
        <w:t xml:space="preserve">Shares in the manner required pursuant to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or fails to credit the Holder’s DTC account for such number of Warrant Shares to which the Holder is entitled, and if after such third (3rd)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then the Company shall, within three (3) Trading Days after the Holder’s request promptly honor its obligation to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183" w:lineRule="exact"/>
        <w:rPr>
          <w:sz w:val="20"/>
          <w:szCs w:val="20"/>
          <w:color w:val="auto"/>
        </w:rPr>
      </w:pPr>
    </w:p>
    <w:p>
      <w:pPr>
        <w:ind w:right="40" w:firstLine="1505"/>
        <w:spacing w:after="0" w:line="233"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3" w:lineRule="exact"/>
        <w:rPr>
          <w:rFonts w:ascii="Times New Roman" w:cs="Times New Roman" w:eastAsia="Times New Roman" w:hAnsi="Times New Roman"/>
          <w:sz w:val="22"/>
          <w:szCs w:val="22"/>
          <w:color w:val="auto"/>
        </w:rPr>
      </w:pPr>
    </w:p>
    <w:p>
      <w:pPr>
        <w:ind w:firstLine="757"/>
        <w:spacing w:after="0" w:line="236" w:lineRule="auto"/>
        <w:tabs>
          <w:tab w:leader="none" w:pos="11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Charges, Taxes and Expenses</w:t>
      </w:r>
      <w:r>
        <w:rPr>
          <w:rFonts w:ascii="Times New Roman" w:cs="Times New Roman" w:eastAsia="Times New Roman" w:hAnsi="Times New Roman"/>
          <w:sz w:val="22"/>
          <w:szCs w:val="22"/>
          <w:color w:val="auto"/>
        </w:rPr>
        <w:t>. Issuance and delivery of certificates for shares of Common Stock upon exercise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75" w:lineRule="exact"/>
        <w:rPr>
          <w:rFonts w:ascii="Times New Roman" w:cs="Times New Roman" w:eastAsia="Times New Roman" w:hAnsi="Times New Roman"/>
          <w:sz w:val="22"/>
          <w:szCs w:val="22"/>
          <w:color w:val="auto"/>
        </w:rPr>
      </w:pPr>
    </w:p>
    <w:p>
      <w:pPr>
        <w:ind w:right="60" w:firstLine="757"/>
        <w:spacing w:after="0" w:line="250" w:lineRule="auto"/>
        <w:tabs>
          <w:tab w:leader="none" w:pos="118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Replacement of Warrant</w:t>
      </w:r>
      <w:r>
        <w:rPr>
          <w:rFonts w:ascii="Times New Roman" w:cs="Times New Roman" w:eastAsia="Times New Roman" w:hAnsi="Times New Roman"/>
          <w:sz w:val="21"/>
          <w:szCs w:val="21"/>
          <w:color w:val="auto"/>
        </w:rPr>
        <w:t>. If this Warrant is mutilated, lost, stolen or destroyed, the Company shall issue or cause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 w:name="page8"/>
    <w:bookmarkEnd w:id="7"/>
    <w:p>
      <w:pPr>
        <w:ind w:right="660"/>
        <w:spacing w:after="0" w:line="258" w:lineRule="auto"/>
        <w:rPr>
          <w:sz w:val="20"/>
          <w:szCs w:val="20"/>
          <w:color w:val="auto"/>
        </w:rPr>
      </w:pPr>
      <w:r>
        <w:rPr>
          <w:rFonts w:ascii="Times New Roman" w:cs="Times New Roman" w:eastAsia="Times New Roman" w:hAnsi="Times New Roman"/>
          <w:sz w:val="22"/>
          <w:szCs w:val="22"/>
          <w:color w:val="auto"/>
        </w:rPr>
        <w:t>Warrant, then the Holder shall deliver such mutilated Warrant to the Company as a condition precedent to the Company’s obligation to issue the New Warrant.</w:t>
      </w:r>
    </w:p>
    <w:p>
      <w:pPr>
        <w:spacing w:after="0" w:line="154" w:lineRule="exact"/>
        <w:rPr>
          <w:sz w:val="20"/>
          <w:szCs w:val="20"/>
          <w:color w:val="auto"/>
        </w:rPr>
      </w:pPr>
    </w:p>
    <w:p>
      <w:pPr>
        <w:ind w:firstLine="757"/>
        <w:spacing w:after="0" w:line="233" w:lineRule="auto"/>
        <w:tabs>
          <w:tab w:leader="none" w:pos="11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Reservation of Warrant Shares</w:t>
      </w:r>
      <w:r>
        <w:rPr>
          <w:rFonts w:ascii="Times New Roman" w:cs="Times New Roman" w:eastAsia="Times New Roman" w:hAnsi="Times New Roman"/>
          <w:sz w:val="22"/>
          <w:szCs w:val="22"/>
          <w:color w:val="auto"/>
        </w:rPr>
        <w:t>. The Company covenants that it will, at all times while this Warrant is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4" w:lineRule="exact"/>
        <w:rPr>
          <w:rFonts w:ascii="Times New Roman" w:cs="Times New Roman" w:eastAsia="Times New Roman" w:hAnsi="Times New Roman"/>
          <w:sz w:val="22"/>
          <w:szCs w:val="22"/>
          <w:color w:val="auto"/>
        </w:rPr>
      </w:pPr>
    </w:p>
    <w:p>
      <w:pPr>
        <w:ind w:right="40" w:firstLine="757"/>
        <w:spacing w:after="0" w:line="262" w:lineRule="auto"/>
        <w:tabs>
          <w:tab w:leader="none" w:pos="11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Adjustments</w:t>
      </w:r>
      <w:r>
        <w:rPr>
          <w:rFonts w:ascii="Times New Roman" w:cs="Times New Roman" w:eastAsia="Times New Roman" w:hAnsi="Times New Roman"/>
          <w:sz w:val="22"/>
          <w:szCs w:val="22"/>
          <w:color w:val="auto"/>
        </w:rPr>
        <w:t>. The Exercise Price and number of Warrant Shares issuable upon exercise of this Warrant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Number of Warrant Shares</w:t>
      </w:r>
      <w:r>
        <w:rPr>
          <w:rFonts w:ascii="Times New Roman" w:cs="Times New Roman" w:eastAsia="Times New Roman" w:hAnsi="Times New Roman"/>
          <w:sz w:val="22"/>
          <w:szCs w:val="22"/>
          <w:color w:val="auto"/>
        </w:rPr>
        <w:t>”) are subject to adjustment from time to time as set forth in this Section 9.</w:t>
      </w:r>
    </w:p>
    <w:p>
      <w:pPr>
        <w:spacing w:after="0" w:line="153"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on its Common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2" w:lineRule="exact"/>
        <w:rPr>
          <w:rFonts w:ascii="Times New Roman" w:cs="Times New Roman" w:eastAsia="Times New Roman" w:hAnsi="Times New Roman"/>
          <w:sz w:val="22"/>
          <w:szCs w:val="22"/>
          <w:color w:val="auto"/>
        </w:rPr>
      </w:pPr>
    </w:p>
    <w:p>
      <w:pPr>
        <w:jc w:val="both"/>
        <w:ind w:right="120" w:firstLine="1505"/>
        <w:spacing w:after="0" w:line="261" w:lineRule="auto"/>
        <w:tabs>
          <w:tab w:leader="none" w:pos="192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 Rata Distributions</w:t>
      </w:r>
      <w:r>
        <w:rPr>
          <w:rFonts w:ascii="Times New Roman" w:cs="Times New Roman" w:eastAsia="Times New Roman" w:hAnsi="Times New Roman"/>
          <w:sz w:val="21"/>
          <w:szCs w:val="21"/>
          <w:color w:val="auto"/>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 w:name="page9"/>
    <w:bookmarkEnd w:id="8"/>
    <w:p>
      <w:pPr>
        <w:ind w:right="60"/>
        <w:spacing w:after="0" w:line="233" w:lineRule="auto"/>
        <w:rPr>
          <w:sz w:val="20"/>
          <w:szCs w:val="20"/>
          <w:color w:val="auto"/>
        </w:rPr>
      </w:pPr>
      <w:r>
        <w:rPr>
          <w:rFonts w:ascii="Times New Roman" w:cs="Times New Roman" w:eastAsia="Times New Roman" w:hAnsi="Times New Roman"/>
          <w:sz w:val="22"/>
          <w:szCs w:val="22"/>
          <w:color w:val="auto"/>
        </w:rPr>
        <w:t>Common Stock), or (iv) cash or any other asset (in each case,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xml:space="preserve">”), other than a reclassification as to which Section 9(c)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the delivery to such Holder of such portion would not result in the Holder exceeding the ownership limitation set forth in Section 11(a) hereof.</w:t>
      </w:r>
    </w:p>
    <w:p>
      <w:pPr>
        <w:spacing w:after="0" w:line="189" w:lineRule="exact"/>
        <w:rPr>
          <w:sz w:val="20"/>
          <w:szCs w:val="20"/>
          <w:color w:val="auto"/>
        </w:rPr>
      </w:pPr>
    </w:p>
    <w:p>
      <w:pPr>
        <w:ind w:firstLine="1505"/>
        <w:spacing w:after="0" w:line="242" w:lineRule="auto"/>
        <w:tabs>
          <w:tab w:leader="none" w:pos="192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Fundamental Transactions</w:t>
      </w:r>
      <w:r>
        <w:rPr>
          <w:rFonts w:ascii="Times New Roman" w:cs="Times New Roman" w:eastAsia="Times New Roman" w:hAnsi="Times New Roman"/>
          <w:sz w:val="21"/>
          <w:szCs w:val="21"/>
          <w:color w:val="auto"/>
        </w:rPr>
        <w:t>. If, at any time while this Warrant is outstanding (i) the Company effects any merger or consolidation of the Company with or into another Person, in which the Company is not the surviving entity,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cs="Times New Roman" w:eastAsia="Times New Roman" w:hAnsi="Times New Roman"/>
          <w:sz w:val="21"/>
          <w:szCs w:val="21"/>
          <w:b w:val="1"/>
          <w:bCs w:val="1"/>
          <w:color w:val="auto"/>
        </w:rPr>
        <w:t>Fundamental Transaction</w:t>
      </w:r>
      <w:r>
        <w:rPr>
          <w:rFonts w:ascii="Times New Roman" w:cs="Times New Roman" w:eastAsia="Times New Roman" w:hAnsi="Times New Roman"/>
          <w:sz w:val="21"/>
          <w:szCs w:val="21"/>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(in the case of clause (iii) above, assuming it had tendered, and the offeror had accepted, such Warrant Shares)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w:t>
      </w:r>
    </w:p>
    <w:p>
      <w:pPr>
        <w:spacing w:after="0" w:line="14" w:lineRule="exact"/>
        <w:rPr>
          <w:rFonts w:ascii="Times New Roman" w:cs="Times New Roman" w:eastAsia="Times New Roman" w:hAnsi="Times New Roman"/>
          <w:sz w:val="21"/>
          <w:szCs w:val="21"/>
          <w:color w:val="auto"/>
        </w:rPr>
      </w:pPr>
    </w:p>
    <w:p>
      <w:pPr>
        <w:ind w:right="300" w:firstLine="8"/>
        <w:spacing w:after="0" w:line="235"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or simultaneously with the consummation thereof, any successor to the Company, surviving entity or other Person (including any purchaser of assets of the Company) shall assume the obligation to deliver to the Holder such Alternate Consideration as,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9" w:name="page10"/>
    <w:bookmarkEnd w:id="9"/>
    <w:p>
      <w:pPr>
        <w:ind w:right="40"/>
        <w:spacing w:after="0" w:line="236" w:lineRule="auto"/>
        <w:rPr>
          <w:sz w:val="20"/>
          <w:szCs w:val="20"/>
          <w:color w:val="auto"/>
        </w:rPr>
      </w:pPr>
      <w:r>
        <w:rPr>
          <w:rFonts w:ascii="Times New Roman" w:cs="Times New Roman" w:eastAsia="Times New Roman" w:hAnsi="Times New Roman"/>
          <w:sz w:val="22"/>
          <w:szCs w:val="22"/>
          <w:color w:val="auto"/>
        </w:rPr>
        <w:t>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Common Stock consists solely of cash, solely of Marketable Securities or a combination of cash and Marketable Securities, then this Warrant shall automatically be deemed to be exercised in full in a “cashless exercise” pursuant to Section 10 below effective immediately prior to and contingent upon the consummation of such Fundamental Transaction.</w:t>
      </w:r>
    </w:p>
    <w:p>
      <w:pPr>
        <w:spacing w:after="0" w:line="181" w:lineRule="exact"/>
        <w:rPr>
          <w:sz w:val="20"/>
          <w:szCs w:val="20"/>
          <w:color w:val="auto"/>
        </w:rPr>
      </w:pPr>
    </w:p>
    <w:p>
      <w:pPr>
        <w:ind w:right="100" w:firstLine="1505"/>
        <w:spacing w:after="0" w:line="238" w:lineRule="auto"/>
        <w:tabs>
          <w:tab w:leader="none" w:pos="19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76" w:lineRule="exact"/>
        <w:rPr>
          <w:rFonts w:ascii="Times New Roman" w:cs="Times New Roman" w:eastAsia="Times New Roman" w:hAnsi="Times New Roman"/>
          <w:sz w:val="22"/>
          <w:szCs w:val="22"/>
          <w:color w:val="auto"/>
        </w:rPr>
      </w:pPr>
    </w:p>
    <w:p>
      <w:pPr>
        <w:ind w:right="180" w:firstLine="1505"/>
        <w:spacing w:after="0" w:line="258" w:lineRule="auto"/>
        <w:tabs>
          <w:tab w:leader="none" w:pos="19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9 shall be made to the nearest one-hundredth of one cent or the nearest whole share, as applicable.</w:t>
      </w:r>
    </w:p>
    <w:p>
      <w:pPr>
        <w:spacing w:after="0" w:line="158"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Adjustments</w:t>
      </w:r>
      <w:r>
        <w:rPr>
          <w:rFonts w:ascii="Times New Roman" w:cs="Times New Roman" w:eastAsia="Times New Roman" w:hAnsi="Times New Roman"/>
          <w:sz w:val="22"/>
          <w:szCs w:val="22"/>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3" w:lineRule="exact"/>
        <w:rPr>
          <w:rFonts w:ascii="Times New Roman" w:cs="Times New Roman" w:eastAsia="Times New Roman" w:hAnsi="Times New Roman"/>
          <w:sz w:val="22"/>
          <w:szCs w:val="22"/>
          <w:color w:val="auto"/>
        </w:rPr>
      </w:pPr>
    </w:p>
    <w:p>
      <w:pPr>
        <w:ind w:right="140" w:firstLine="1505"/>
        <w:spacing w:after="0" w:line="244" w:lineRule="auto"/>
        <w:tabs>
          <w:tab w:leader="none" w:pos="192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Corporate Events</w:t>
      </w:r>
      <w:r>
        <w:rPr>
          <w:rFonts w:ascii="Times New Roman" w:cs="Times New Roman" w:eastAsia="Times New Roman" w:hAnsi="Times New Roman"/>
          <w:sz w:val="21"/>
          <w:szCs w:val="21"/>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9(c), other than a Fundamental Transaction under clause (iii) of Section 9(c), then, except if such notice and the contents thereof shall be deemed to constitute material non-public information, the Company shall deliver to the Holder a notice of such Fundamental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Transaction at least ten (10) days prior to the date such Fundamental Transaction is consummated.</w:t>
      </w:r>
    </w:p>
    <w:p>
      <w:pPr>
        <w:spacing w:after="0" w:line="202" w:lineRule="exact"/>
        <w:rPr>
          <w:sz w:val="20"/>
          <w:szCs w:val="20"/>
          <w:color w:val="auto"/>
        </w:rPr>
      </w:pPr>
    </w:p>
    <w:p>
      <w:pPr>
        <w:ind w:right="160" w:firstLine="757"/>
        <w:spacing w:after="0" w:line="246" w:lineRule="auto"/>
        <w:tabs>
          <w:tab w:leader="none" w:pos="118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Cashless Exercise</w:t>
      </w:r>
      <w:r>
        <w:rPr>
          <w:rFonts w:ascii="Times New Roman" w:cs="Times New Roman" w:eastAsia="Times New Roman" w:hAnsi="Times New Roman"/>
          <w:sz w:val="22"/>
          <w:szCs w:val="22"/>
          <w:color w:val="auto"/>
        </w:rPr>
        <w:t>. Notwithstanding anything contained herein to the contrary, this Warrant may only be exercised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a “cashless exercise.” Upon exercise, the Company shall issue to the Holder the number of Warrant Shares in an exchange of securities effected pursuant to Section 3(a)(9) of the Securities Act as determined as follows: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X = Y [(A-B)/A] where:</w:t>
      </w:r>
    </w:p>
    <w:p>
      <w:pPr>
        <w:spacing w:after="0" w:line="206" w:lineRule="exact"/>
        <w:rPr>
          <w:sz w:val="20"/>
          <w:szCs w:val="20"/>
          <w:color w:val="auto"/>
        </w:rPr>
      </w:pPr>
    </w:p>
    <w:p>
      <w:pPr>
        <w:ind w:left="1500" w:right="320"/>
        <w:spacing w:after="0" w:line="258" w:lineRule="auto"/>
        <w:rPr>
          <w:sz w:val="20"/>
          <w:szCs w:val="20"/>
          <w:color w:val="auto"/>
        </w:rPr>
      </w:pPr>
      <w:r>
        <w:rPr>
          <w:rFonts w:ascii="Times New Roman" w:cs="Times New Roman" w:eastAsia="Times New Roman" w:hAnsi="Times New Roman"/>
          <w:sz w:val="22"/>
          <w:szCs w:val="22"/>
          <w:color w:val="auto"/>
        </w:rPr>
        <w:t>“X” equals the number of Warrant Shares to be issued to the Holder; “Y” equals the total number of Warrant Shares with respect to which this Warrant is then being exercised;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 equals the Closing Sale Price per share of Common Stock as of the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Trading Day on the date immediately preceding the Exercise Date; and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 equals the Exercise Price per Warrant Share then in effect on the Exercise Date.</w:t>
      </w:r>
    </w:p>
    <w:p>
      <w:pPr>
        <w:spacing w:after="0" w:line="206" w:lineRule="exact"/>
        <w:rPr>
          <w:sz w:val="20"/>
          <w:szCs w:val="20"/>
          <w:color w:val="auto"/>
        </w:rPr>
      </w:pPr>
    </w:p>
    <w:p>
      <w:pPr>
        <w:ind w:right="360" w:firstLine="749"/>
        <w:spacing w:after="0" w:line="255" w:lineRule="auto"/>
        <w:rPr>
          <w:sz w:val="20"/>
          <w:szCs w:val="20"/>
          <w:color w:val="auto"/>
        </w:rPr>
      </w:pPr>
      <w:r>
        <w:rPr>
          <w:rFonts w:ascii="Times New Roman" w:cs="Times New Roman" w:eastAsia="Times New Roman" w:hAnsi="Times New Roman"/>
          <w:sz w:val="21"/>
          <w:szCs w:val="21"/>
          <w:color w:val="auto"/>
        </w:rPr>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no event will the exercise of this Warrant be settled in cash.</w:t>
      </w:r>
    </w:p>
    <w:p>
      <w:pPr>
        <w:spacing w:after="0" w:line="202" w:lineRule="exact"/>
        <w:rPr>
          <w:sz w:val="20"/>
          <w:szCs w:val="20"/>
          <w:color w:val="auto"/>
        </w:rPr>
      </w:pPr>
    </w:p>
    <w:p>
      <w:pPr>
        <w:ind w:left="1080" w:hanging="323"/>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Exercise.</w:t>
      </w:r>
    </w:p>
    <w:p>
      <w:pPr>
        <w:spacing w:after="0" w:line="210" w:lineRule="exact"/>
        <w:rPr>
          <w:rFonts w:ascii="Times New Roman" w:cs="Times New Roman" w:eastAsia="Times New Roman" w:hAnsi="Times New Roman"/>
          <w:sz w:val="22"/>
          <w:szCs w:val="22"/>
          <w:color w:val="auto"/>
        </w:rPr>
      </w:pPr>
    </w:p>
    <w:p>
      <w:pPr>
        <w:ind w:firstLine="1505"/>
        <w:spacing w:after="0" w:line="234" w:lineRule="auto"/>
        <w:tabs>
          <w:tab w:leader="none" w:pos="179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Company shall not effect any exercise of this Warrant, and the Holder shall not be entitled to exercise this Warrant for a number of Warrant Shares in excess of that number of Warrant Shares if, upon giving effect to such exercise, (i) immediately prior to the exercise, the Holder, its Affiliates and any other Persons whose beneficial ownership of Common Stock would be aggregated with the Holder’s for purposes of Section 13(d) of the Exchange Act, beneficially owns an aggregate number of shares of Common Stock greater than 9.99% (the “</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of the total number of issued and outstanding shares of Common Stock of the Company without taking into account any Warrant Shares, or (ii) immediately following exercise, the combined voting power of the securities of the Company beneficially owned by the Holder and its Affiliates and any other Persons whose beneficial ownership of Common Stock would be aggregated with the Holder’s for purposes of Section 13(d) of the Exchange Act would be greater than 9.99% of the combined voting power of all of the securities of the Company then outstanding following such exercise without taking into account any Warrant Shares. Any portion of an exercise that would result in the issuance of shares in excess of the Maximum Percentage shall be treated as null and void ab initio. For purposes of this Warrant, in determining the number of outstanding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spacing w:after="0" w:line="232" w:lineRule="auto"/>
        <w:rPr>
          <w:sz w:val="20"/>
          <w:szCs w:val="20"/>
          <w:color w:val="auto"/>
        </w:rPr>
      </w:pPr>
      <w:r>
        <w:rPr>
          <w:rFonts w:ascii="Times New Roman" w:cs="Times New Roman" w:eastAsia="Times New Roman" w:hAnsi="Times New Roman"/>
          <w:sz w:val="22"/>
          <w:szCs w:val="22"/>
          <w:color w:val="auto"/>
        </w:rPr>
        <w:t>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pacing w:after="0" w:line="182" w:lineRule="exact"/>
        <w:rPr>
          <w:sz w:val="20"/>
          <w:szCs w:val="20"/>
          <w:color w:val="auto"/>
        </w:rPr>
      </w:pPr>
    </w:p>
    <w:p>
      <w:pPr>
        <w:ind w:right="200" w:firstLine="1505"/>
        <w:spacing w:after="0" w:line="244" w:lineRule="auto"/>
        <w:tabs>
          <w:tab w:leader="none" w:pos="180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9(c) of this Warrant.</w:t>
      </w:r>
    </w:p>
    <w:p>
      <w:pPr>
        <w:spacing w:after="0" w:line="169" w:lineRule="exact"/>
        <w:rPr>
          <w:rFonts w:ascii="Times New Roman" w:cs="Times New Roman" w:eastAsia="Times New Roman" w:hAnsi="Times New Roman"/>
          <w:sz w:val="22"/>
          <w:szCs w:val="22"/>
          <w:color w:val="auto"/>
        </w:rPr>
      </w:pPr>
    </w:p>
    <w:p>
      <w:pPr>
        <w:ind w:right="200" w:firstLine="757"/>
        <w:spacing w:after="0" w:line="241" w:lineRule="auto"/>
        <w:tabs>
          <w:tab w:leader="none" w:pos="107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Fractional Shares</w:t>
      </w:r>
      <w:r>
        <w:rPr>
          <w:rFonts w:ascii="Times New Roman" w:cs="Times New Roman" w:eastAsia="Times New Roman" w:hAnsi="Times New Roman"/>
          <w:sz w:val="22"/>
          <w:szCs w:val="22"/>
          <w:color w:val="auto"/>
        </w:rPr>
        <w:t>. No fractional Warrant Shares will be issued in connection with any exercise of this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1" w:lineRule="exact"/>
        <w:rPr>
          <w:rFonts w:ascii="Times New Roman" w:cs="Times New Roman" w:eastAsia="Times New Roman" w:hAnsi="Times New Roman"/>
          <w:sz w:val="22"/>
          <w:szCs w:val="22"/>
          <w:color w:val="auto"/>
        </w:rPr>
      </w:pPr>
    </w:p>
    <w:p>
      <w:pPr>
        <w:ind w:right="80" w:firstLine="757"/>
        <w:spacing w:after="0" w:line="238" w:lineRule="auto"/>
        <w:tabs>
          <w:tab w:leader="none" w:pos="107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and all notices or other communications or deliveries hereunder (including, without limitation,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ind w:right="280"/>
        <w:spacing w:after="0" w:line="261" w:lineRule="auto"/>
        <w:rPr>
          <w:sz w:val="20"/>
          <w:szCs w:val="20"/>
          <w:color w:val="auto"/>
        </w:rPr>
      </w:pPr>
      <w:r>
        <w:rPr>
          <w:rFonts w:ascii="Times New Roman" w:cs="Times New Roman" w:eastAsia="Times New Roman" w:hAnsi="Times New Roman"/>
          <w:sz w:val="21"/>
          <w:szCs w:val="21"/>
          <w:color w:val="auto"/>
        </w:rPr>
        <w:t>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Adicet Bio,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200 Berkeley Street, 19th Floor</w:t>
      </w:r>
    </w:p>
    <w:p>
      <w:pPr>
        <w:ind w:left="1500"/>
        <w:spacing w:after="0" w:line="230" w:lineRule="auto"/>
        <w:rPr>
          <w:sz w:val="20"/>
          <w:szCs w:val="20"/>
          <w:color w:val="auto"/>
        </w:rPr>
      </w:pPr>
      <w:r>
        <w:rPr>
          <w:rFonts w:ascii="Times New Roman" w:cs="Times New Roman" w:eastAsia="Times New Roman" w:hAnsi="Times New Roman"/>
          <w:sz w:val="22"/>
          <w:szCs w:val="22"/>
          <w:color w:val="auto"/>
        </w:rPr>
        <w:t>Boston, Massachusetts</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Chief Financial Officer</w:t>
      </w:r>
    </w:p>
    <w:p>
      <w:pPr>
        <w:ind w:left="1500"/>
        <w:spacing w:after="0" w:line="230" w:lineRule="auto"/>
        <w:rPr>
          <w:sz w:val="20"/>
          <w:szCs w:val="20"/>
          <w:color w:val="auto"/>
        </w:rPr>
      </w:pPr>
      <w:r>
        <w:rPr>
          <w:rFonts w:ascii="Times New Roman" w:cs="Times New Roman" w:eastAsia="Times New Roman" w:hAnsi="Times New Roman"/>
          <w:sz w:val="22"/>
          <w:szCs w:val="22"/>
          <w:color w:val="auto"/>
        </w:rPr>
        <w:t>Telephone: Nick Harvey</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nharvey@adicetbio.com</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Holder, to its address or e-mail address set forth herein or on the books and records of the Company.</w:t>
      </w:r>
    </w:p>
    <w:p>
      <w:pPr>
        <w:spacing w:after="0" w:line="20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Or, in each of the above instances, to such other address or e-mail address as the recipient party has specified by written notice given to each other party at least five (5) days prior to the effectiveness of such change.</w:t>
      </w:r>
    </w:p>
    <w:p>
      <w:pPr>
        <w:spacing w:after="0" w:line="154" w:lineRule="exact"/>
        <w:rPr>
          <w:sz w:val="20"/>
          <w:szCs w:val="20"/>
          <w:color w:val="auto"/>
        </w:rPr>
      </w:pPr>
    </w:p>
    <w:p>
      <w:pPr>
        <w:ind w:right="60" w:firstLine="757"/>
        <w:spacing w:after="0" w:line="236" w:lineRule="auto"/>
        <w:tabs>
          <w:tab w:leader="none" w:pos="118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Warrant Agent</w:t>
      </w:r>
      <w:r>
        <w:rPr>
          <w:rFonts w:ascii="Times New Roman" w:cs="Times New Roman" w:eastAsia="Times New Roman" w:hAnsi="Times New Roman"/>
          <w:sz w:val="22"/>
          <w:szCs w:val="22"/>
          <w:color w:val="auto"/>
        </w:rPr>
        <w:t>. The Company shall initially serve as warrant agent under this Warrant. Upon ten (10) days’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w:t>
      </w:r>
    </w:p>
    <w:p>
      <w:pPr>
        <w:spacing w:after="0" w:line="206"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 w:name="page14"/>
    <w:bookmarkEnd w:id="13"/>
    <w:p>
      <w:pPr>
        <w:ind w:left="-1120" w:firstLine="1505"/>
        <w:spacing w:after="0" w:line="233" w:lineRule="auto"/>
        <w:tabs>
          <w:tab w:leader="none" w:pos="8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7" w:lineRule="exact"/>
        <w:rPr>
          <w:rFonts w:ascii="Times New Roman" w:cs="Times New Roman" w:eastAsia="Times New Roman" w:hAnsi="Times New Roman"/>
          <w:sz w:val="22"/>
          <w:szCs w:val="22"/>
          <w:color w:val="auto"/>
        </w:rPr>
      </w:pPr>
    </w:p>
    <w:p>
      <w:pPr>
        <w:ind w:left="-1120" w:right="40" w:firstLine="1505"/>
        <w:spacing w:after="0" w:line="235" w:lineRule="auto"/>
        <w:tabs>
          <w:tab w:leader="none" w:pos="8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3" w:lineRule="exact"/>
        <w:rPr>
          <w:rFonts w:ascii="Times New Roman" w:cs="Times New Roman" w:eastAsia="Times New Roman" w:hAnsi="Times New Roman"/>
          <w:sz w:val="22"/>
          <w:szCs w:val="22"/>
          <w:color w:val="auto"/>
        </w:rPr>
      </w:pPr>
    </w:p>
    <w:p>
      <w:pPr>
        <w:ind w:left="-1120" w:right="160" w:firstLine="1505"/>
        <w:spacing w:after="0" w:line="258" w:lineRule="auto"/>
        <w:tabs>
          <w:tab w:leader="none" w:pos="8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Except as otherwise provided herein, this Warrant may be modified or amended or the provisions hereof waived with the written consent of the Company and the Holder.</w:t>
      </w:r>
    </w:p>
    <w:p>
      <w:pPr>
        <w:spacing w:after="0" w:line="158" w:lineRule="exact"/>
        <w:rPr>
          <w:rFonts w:ascii="Times New Roman" w:cs="Times New Roman" w:eastAsia="Times New Roman" w:hAnsi="Times New Roman"/>
          <w:sz w:val="22"/>
          <w:szCs w:val="22"/>
          <w:color w:val="auto"/>
        </w:rPr>
      </w:pPr>
    </w:p>
    <w:p>
      <w:pPr>
        <w:ind w:left="-1120" w:right="280" w:firstLine="1505"/>
        <w:spacing w:after="0" w:line="258" w:lineRule="auto"/>
        <w:tabs>
          <w:tab w:leader="none" w:pos="8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Warrant by the Holder shall constitute acceptance of and agreement to all of the terms and conditions contained herein.</w:t>
      </w:r>
    </w:p>
    <w:p>
      <w:pPr>
        <w:spacing w:after="0" w:line="158" w:lineRule="exact"/>
        <w:rPr>
          <w:rFonts w:ascii="Times New Roman" w:cs="Times New Roman" w:eastAsia="Times New Roman" w:hAnsi="Times New Roman"/>
          <w:sz w:val="22"/>
          <w:szCs w:val="22"/>
          <w:color w:val="auto"/>
        </w:rPr>
      </w:pPr>
    </w:p>
    <w:p>
      <w:pPr>
        <w:ind w:left="-1120" w:right="60" w:firstLine="1505"/>
        <w:spacing w:after="0" w:line="233" w:lineRule="auto"/>
        <w:tabs>
          <w:tab w:leader="none" w:pos="8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1015365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4" w:name="page15"/>
    <w:bookmarkEnd w:id="14"/>
    <w:p>
      <w:pPr>
        <w:spacing w:after="0" w:line="235" w:lineRule="auto"/>
        <w:rPr>
          <w:sz w:val="20"/>
          <w:szCs w:val="20"/>
          <w:color w:val="auto"/>
        </w:rPr>
      </w:pPr>
      <w:r>
        <w:rPr>
          <w:rFonts w:ascii="Times New Roman" w:cs="Times New Roman" w:eastAsia="Times New Roman" w:hAnsi="Times New Roman"/>
          <w:sz w:val="22"/>
          <w:szCs w:val="22"/>
          <w:color w:val="auto"/>
        </w:rPr>
        <w:t>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78" w:lineRule="exact"/>
        <w:rPr>
          <w:sz w:val="20"/>
          <w:szCs w:val="20"/>
          <w:color w:val="auto"/>
        </w:rPr>
      </w:pPr>
    </w:p>
    <w:p>
      <w:pPr>
        <w:ind w:right="120" w:firstLine="1505"/>
        <w:spacing w:after="0" w:line="258"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Warrant and shall not be deemed to limit or affect any of the provisions hereof.</w:t>
      </w:r>
    </w:p>
    <w:p>
      <w:pPr>
        <w:spacing w:after="0" w:line="158" w:lineRule="exact"/>
        <w:rPr>
          <w:rFonts w:ascii="Times New Roman" w:cs="Times New Roman" w:eastAsia="Times New Roman" w:hAnsi="Times New Roman"/>
          <w:sz w:val="22"/>
          <w:szCs w:val="22"/>
          <w:color w:val="auto"/>
        </w:rPr>
      </w:pPr>
    </w:p>
    <w:p>
      <w:pPr>
        <w:ind w:right="20" w:firstLine="1505"/>
        <w:spacing w:after="0" w:line="238"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 w:name="page16"/>
    <w:bookmarkEnd w:id="1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duly executed by its authorized officer as of the date first indicated above.</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ADICET BIO, INC.</w:t>
      </w: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1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8" w:right="479" w:bottom="1440" w:gutter="0" w:footer="0" w:header="0"/>
        </w:sectPr>
      </w:pPr>
    </w:p>
    <w:bookmarkStart w:id="16" w:name="page17"/>
    <w:bookmarkEnd w:id="16"/>
    <w:p>
      <w:pPr>
        <w:ind w:left="4920"/>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FORM OF EXERCISE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executed by the Holder to purchase shares of Common Stock under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right="160" w:firstLine="8"/>
        <w:spacing w:after="0" w:line="244" w:lineRule="auto"/>
        <w:tabs>
          <w:tab w:leader="none" w:pos="4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is the Holder of Warrant No. ___ (the “Warrant”) issued by Adicet Bio, Inc., a Delaware corporation (the “Company”). Capitalized terms used herein and not otherwise defined herein have the respective meanings set forth in the Warrant.</w:t>
      </w:r>
    </w:p>
    <w:p>
      <w:pPr>
        <w:spacing w:after="0" w:line="173"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exercises its right to purchase ___________ Warrant Shares pursuant to the Warrant.</w:t>
      </w:r>
    </w:p>
    <w:p>
      <w:pPr>
        <w:spacing w:after="0" w:line="206" w:lineRule="exact"/>
        <w:rPr>
          <w:rFonts w:ascii="Times New Roman" w:cs="Times New Roman" w:eastAsia="Times New Roman" w:hAnsi="Times New Roman"/>
          <w:sz w:val="22"/>
          <w:szCs w:val="22"/>
          <w:color w:val="auto"/>
        </w:rPr>
      </w:pPr>
    </w:p>
    <w:p>
      <w:pPr>
        <w:ind w:right="580" w:firstLine="8"/>
        <w:spacing w:after="0" w:line="258" w:lineRule="auto"/>
        <w:tabs>
          <w:tab w:leader="none" w:pos="4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intends that payment of the Exercise Price shall be made as a “Cashless Exercise” under Section 10 of the Warrant.</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4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this Exercise Notice, the Company shall deliver to the Holder Warrant Shares determined in accordance with the terms of the Warrant. The Warrant Shares shall be delivered to the following DWAC Account Number:</w:t>
      </w:r>
    </w:p>
    <w:p>
      <w:pPr>
        <w:spacing w:after="0" w:line="158" w:lineRule="exact"/>
        <w:rPr>
          <w:rFonts w:ascii="Times New Roman" w:cs="Times New Roman" w:eastAsia="Times New Roman" w:hAnsi="Times New Roman"/>
          <w:sz w:val="22"/>
          <w:szCs w:val="22"/>
          <w:color w:val="auto"/>
        </w:rPr>
      </w:pPr>
    </w:p>
    <w:p>
      <w:pPr>
        <w:ind w:right="140" w:firstLine="8"/>
        <w:spacing w:after="0" w:line="239" w:lineRule="auto"/>
        <w:tabs>
          <w:tab w:leader="none" w:pos="4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Holder: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3">
    <w:nsid w:val="1190CDE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
    <w:nsid w:val="66EF438D"/>
    <w:multiLevelType w:val="hybridMultilevel"/>
    <w:lvl w:ilvl="0">
      <w:lvlJc w:val="left"/>
      <w:lvlText w:val="%1."/>
      <w:numFmt w:val="decimal"/>
      <w:start w:val="4"/>
    </w:lvl>
    <w:lvl w:ilvl="1">
      <w:lvlJc w:val="left"/>
      <w:lvlText w:val="(%2)"/>
      <w:numFmt w:val="lowerLetter"/>
      <w:start w:val="1"/>
    </w:lvl>
  </w:abstractNum>
  <w:abstractNum w:abstractNumId="5">
    <w:nsid w:val="140E0F76"/>
    <w:multiLevelType w:val="hybridMultilevel"/>
    <w:lvl w:ilvl="0">
      <w:lvlJc w:val="left"/>
      <w:lvlText w:val="%1"/>
      <w:numFmt w:val="decimal"/>
      <w:start w:val="1"/>
    </w:lvl>
    <w:lvl w:ilvl="1">
      <w:lvlJc w:val="left"/>
      <w:lvlText w:val="(%2)"/>
      <w:numFmt w:val="lowerLetter"/>
      <w:start w:val="3"/>
    </w:lvl>
  </w:abstractNum>
  <w:abstractNum w:abstractNumId="6">
    <w:nsid w:val="3352255A"/>
    <w:multiLevelType w:val="hybridMultilevel"/>
    <w:lvl w:ilvl="0">
      <w:lvlJc w:val="left"/>
      <w:lvlText w:val="%1."/>
      <w:numFmt w:val="decimal"/>
      <w:start w:val="6"/>
    </w:lvl>
    <w:lvl w:ilvl="1">
      <w:lvlJc w:val="left"/>
      <w:lvlText w:val="%2"/>
      <w:numFmt w:val="lowerLetter"/>
      <w:start w:val="1"/>
    </w:lvl>
  </w:abstractNum>
  <w:abstractNum w:abstractNumId="7">
    <w:nsid w:val="109CF92E"/>
    <w:multiLevelType w:val="hybridMultilevel"/>
    <w:lvl w:ilvl="0">
      <w:lvlJc w:val="left"/>
      <w:lvlText w:val="%1."/>
      <w:numFmt w:val="decimal"/>
      <w:start w:val="8"/>
    </w:lvl>
    <w:lvl w:ilvl="1">
      <w:lvlJc w:val="left"/>
      <w:lvlText w:val="(%2)"/>
      <w:numFmt w:val="lowerLetter"/>
      <w:start w:val="1"/>
    </w:lvl>
  </w:abstractNum>
  <w:abstractNum w:abstractNumId="8">
    <w:nsid w:val="DED7263"/>
    <w:multiLevelType w:val="hybridMultilevel"/>
    <w:lvl w:ilvl="0">
      <w:lvlJc w:val="left"/>
      <w:lvlText w:val="%1"/>
      <w:numFmt w:val="lowerLetter"/>
      <w:start w:val="1"/>
    </w:lvl>
    <w:lvl w:ilvl="1">
      <w:lvlJc w:val="left"/>
      <w:lvlText w:val="(%2)"/>
      <w:numFmt w:val="lowerLetter"/>
      <w:start w:val="3"/>
    </w:lvl>
  </w:abstractNum>
  <w:abstractNum w:abstractNumId="9">
    <w:nsid w:val="7FDCC233"/>
    <w:multiLevelType w:val="hybridMultilevel"/>
    <w:lvl w:ilvl="0">
      <w:lvlJc w:val="left"/>
      <w:lvlText w:val="(%1)"/>
      <w:numFmt w:val="lowerLetter"/>
      <w:start w:val="35"/>
    </w:lvl>
    <w:lvl w:ilvl="1">
      <w:lvlJc w:val="left"/>
      <w:lvlText w:val="%2"/>
      <w:numFmt w:val="lowerLetter"/>
      <w:start w:val="1"/>
    </w:lvl>
  </w:abstractNum>
  <w:abstractNum w:abstractNumId="10">
    <w:nsid w:val="1BEFD79F"/>
    <w:multiLevelType w:val="hybridMultilevel"/>
    <w:lvl w:ilvl="0">
      <w:lvlJc w:val="left"/>
      <w:lvlText w:val="(%1)"/>
      <w:numFmt w:val="lowerLetter"/>
      <w:start w:val="4"/>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lvl w:ilvl="1">
      <w:lvlJc w:val="left"/>
      <w:lvlText w:val="(%2)"/>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2"/>
    </w:lvl>
  </w:abstractNum>
  <w:abstractNum w:abstractNumId="14">
    <w:nsid w:val="25E45D32"/>
    <w:multiLevelType w:val="hybridMultilevel"/>
    <w:lvl w:ilvl="0">
      <w:lvlJc w:val="left"/>
      <w:lvlText w:val="%1."/>
      <w:numFmt w:val="decimal"/>
      <w:start w:val="12"/>
    </w:lvl>
    <w:lvl w:ilvl="1">
      <w:lvlJc w:val="left"/>
      <w:lvlText w:val="%2"/>
      <w:numFmt w:val="lowerLetter"/>
      <w:start w:val="1"/>
    </w:lvl>
  </w:abstractNum>
  <w:abstractNum w:abstractNumId="15">
    <w:nsid w:val="519B500D"/>
    <w:multiLevelType w:val="hybridMultilevel"/>
    <w:lvl w:ilvl="0">
      <w:lvlJc w:val="left"/>
      <w:lvlText w:val="%1."/>
      <w:numFmt w:val="decimal"/>
      <w:start w:val="14"/>
    </w:lvl>
    <w:lvl w:ilvl="1">
      <w:lvlJc w:val="left"/>
      <w:lvlText w:val="(%2)"/>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7"/>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2026-04-28T15:29:13Z</dcterms:created>
  <dcterms:modified xsi:type="dcterms:W3CDTF">2026-04-28T15:29:13Z</dcterms:modified>
</cp:coreProperties>
</file>