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92026_040403.xml.htm"/>
      <w:bookmarkStart w:id="1" w:name="ksform404292026_0404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Adicet Bio, Inc.</w:t>
              </w:r>
            </w:hyperlink>
            <w:r>
              <w:rPr/>
              <w:t xml:space="preserve"> [ </w:t>
            </w:r>
            <w:r>
              <w:rPr>
                <w:rFonts w:ascii="Times;serif" w:hAnsi="Times;serif"/>
                <w:color w:val="0000FF"/>
                <w:sz w:val="24"/>
                <w:shd w:fill="FFFFFF" w:val="clear"/>
              </w:rPr>
              <w:t>ACET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3"/>
        <w:gridCol w:w="905"/>
        <w:gridCol w:w="774"/>
        <w:gridCol w:w="600"/>
        <w:gridCol w:w="346"/>
        <w:gridCol w:w="1011"/>
        <w:gridCol w:w="446"/>
        <w:gridCol w:w="609"/>
        <w:gridCol w:w="1149"/>
        <w:gridCol w:w="988"/>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932,624</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268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816"/>
        <w:gridCol w:w="276"/>
        <w:gridCol w:w="906"/>
        <w:gridCol w:w="801"/>
        <w:gridCol w:w="891"/>
        <w:gridCol w:w="921"/>
        <w:gridCol w:w="801"/>
        <w:gridCol w:w="966"/>
        <w:gridCol w:w="831"/>
        <w:gridCol w:w="981"/>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1,402,833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RA Capital Healthcare Fund, L.P. (the "Fund") entered into an Exchange Agreement with the Issuer pursuant to which the Fund exchanged, for no additional consideration, 250,000 shares of the Issuer's Common Stock for a pre-funded warrant exercisable for up to 250,000 shares of the Issuer's Common Stock at an exercise price of $0.0001 per share (the "Pre-Funded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Pre-Funded Warrant has no expiration date and is exercisable immediately. Notwithstanding the foregoing, the Fund shall not be entitled to exercise the Pre-Funded Warrant to the extent that it would cause the aggregate number of shares of Common Stock beneficially owned by the Fund, together with its Attribution Parties (as defined in the Pre-Funded Warrant), to exceed 9.99% of the total number of issued and outstanding shares of Common Stock of the Issuer following such exercise.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7205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46824" TargetMode="External"/><Relationship Id="rId9" Type="http://schemas.openxmlformats.org/officeDocument/2006/relationships/hyperlink" Target="http://www.sec.gov/cgi-bin/browse-edgar?action=getcompany&amp;CIK=0001315082" TargetMode="External"/><Relationship Id="rId10" Type="http://schemas.openxmlformats.org/officeDocument/2006/relationships/hyperlink" Target="http://www.sec.gov/cgi-bin/browse-edgar?action=getcompany&amp;CIK=0001384859" TargetMode="External"/><Relationship Id="rId11" Type="http://schemas.openxmlformats.org/officeDocument/2006/relationships/hyperlink" Target="http://www.sec.gov/cgi-bin/browse-edgar?action=getcompany&amp;CIK=000161984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972</Words>
  <Characters>5274</Characters>
  <CharactersWithSpaces>6117</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