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365" w:lineRule="auto"/>
        <w:rPr>
          <w:sz w:val="20"/>
          <w:szCs w:val="20"/>
          <w:color w:val="auto"/>
        </w:rPr>
      </w:pPr>
      <w:r>
        <w:rPr>
          <w:rFonts w:ascii="Times New Roman" w:cs="Times New Roman" w:eastAsia="Times New Roman" w:hAnsi="Times New Roman"/>
          <w:sz w:val="17"/>
          <w:szCs w:val="17"/>
          <w:color w:val="0000FF"/>
        </w:rPr>
        <w:t>C/O RA CAPITAL MANAGEMENT, L.P. 200 BERKELEY STREET, 18TH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Adicet Bio,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ACET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3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02/18/2026</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7"/>
                <w:szCs w:val="17"/>
                <w:color w:val="0000FF"/>
              </w:rPr>
              <w:t>02/18/2026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74,577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7.04</w:t>
            </w:r>
            <w:r>
              <w:rPr>
                <w:rFonts w:ascii="Times New Roman" w:cs="Times New Roman" w:eastAsia="Times New Roman" w:hAnsi="Times New Roman"/>
                <w:sz w:val="22"/>
                <w:szCs w:val="22"/>
                <w:color w:val="008000"/>
                <w:w w:val="99"/>
                <w:vertAlign w:val="superscript"/>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1,033,605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5"/>
            <w:vMerge w:val="restart"/>
          </w:tcPr>
          <w:p>
            <w:pPr>
              <w:ind w:left="400"/>
              <w:spacing w:after="0"/>
              <w:rPr>
                <w:sz w:val="20"/>
                <w:szCs w:val="20"/>
                <w:color w:val="auto"/>
              </w:rPr>
            </w:pPr>
            <w:r>
              <w:rPr>
                <w:rFonts w:ascii="Times New Roman" w:cs="Times New Roman" w:eastAsia="Times New Roman" w:hAnsi="Times New Roman"/>
                <w:sz w:val="17"/>
                <w:szCs w:val="17"/>
                <w:color w:val="0000FF"/>
              </w:rPr>
              <w:t>02/19/2026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74,268</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7.21</w:t>
            </w:r>
            <w:r>
              <w:rPr>
                <w:rFonts w:ascii="Times New Roman" w:cs="Times New Roman" w:eastAsia="Times New Roman" w:hAnsi="Times New Roman"/>
                <w:sz w:val="22"/>
                <w:szCs w:val="22"/>
                <w:color w:val="008000"/>
                <w:w w:val="99"/>
                <w:vertAlign w:val="superscript"/>
              </w:rPr>
              <w:t>(4)</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1,107,873</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5"/>
            <w:vMerge w:val="restart"/>
          </w:tcPr>
          <w:p>
            <w:pPr>
              <w:ind w:left="400"/>
              <w:spacing w:after="0"/>
              <w:rPr>
                <w:sz w:val="20"/>
                <w:szCs w:val="20"/>
                <w:color w:val="auto"/>
              </w:rPr>
            </w:pPr>
            <w:r>
              <w:rPr>
                <w:rFonts w:ascii="Times New Roman" w:cs="Times New Roman" w:eastAsia="Times New Roman" w:hAnsi="Times New Roman"/>
                <w:sz w:val="17"/>
                <w:szCs w:val="17"/>
                <w:color w:val="0000FF"/>
              </w:rPr>
              <w:t>02/20/2026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74,751</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7.27</w:t>
            </w:r>
            <w:r>
              <w:rPr>
                <w:rFonts w:ascii="Times New Roman" w:cs="Times New Roman" w:eastAsia="Times New Roman" w:hAnsi="Times New Roman"/>
                <w:sz w:val="22"/>
                <w:szCs w:val="22"/>
                <w:color w:val="008000"/>
                <w:w w:val="99"/>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1,182,624</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6"/>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RA CAPITAL MANAGEMENT,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RA Capital Healthcare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-1261745</wp:posOffset>
            </wp:positionV>
            <wp:extent cx="2809240" cy="4209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420941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$6.89 to $7.20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$6.89 to $7.48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$7.05 to $7.58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of RA Capital Management,</w:t>
        <w:tab/>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Fund GP, LLC, the General</w:t>
      </w:r>
      <w:r>
        <w:rPr>
          <w:sz w:val="20"/>
          <w:szCs w:val="20"/>
          <w:color w:val="auto"/>
        </w:rPr>
        <w:tab/>
      </w:r>
      <w:r>
        <w:rPr>
          <w:rFonts w:ascii="Times New Roman" w:cs="Times New Roman" w:eastAsia="Times New Roman" w:hAnsi="Times New Roman"/>
          <w:sz w:val="17"/>
          <w:szCs w:val="17"/>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Peter Kolchinsky,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04/13/2026</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individually</w:t>
            </w:r>
          </w:p>
        </w:tc>
        <w:tc>
          <w:tcPr>
            <w:tcW w:w="6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Rajeev Shah, individually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04/13/2026</w:t>
            </w:r>
          </w:p>
        </w:tc>
        <w:tc>
          <w:tcPr>
            <w:tcW w:w="0" w:type="dxa"/>
            <w:vAlign w:val="bottom"/>
          </w:tcPr>
          <w:p>
            <w:pPr>
              <w:spacing w:after="0"/>
              <w:rPr>
                <w:sz w:val="1"/>
                <w:szCs w:val="1"/>
                <w:color w:val="auto"/>
              </w:rPr>
            </w:pPr>
          </w:p>
        </w:tc>
      </w:tr>
      <w:tr>
        <w:trPr>
          <w:trHeight w:val="235"/>
        </w:trPr>
        <w:tc>
          <w:tcPr>
            <w:tcW w:w="21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720580" TargetMode="External"/><Relationship Id="rId15"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384859" TargetMode="External"/><Relationship Id="rId19"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2026-04-13T16:22:11Z</dcterms:created>
  <dcterms:modified xsi:type="dcterms:W3CDTF">2026-04-13T16:22:11Z</dcterms:modified>
</cp:coreProperties>
</file>