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Adicet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001-38359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81-3305277</w:t>
            </w:r>
          </w:p>
        </w:tc>
      </w:tr>
      <w:tr>
        <w:trPr>
          <w:trHeight w:val="149"/>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131 Dartmouth Street, Floor 3</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178"/>
        </w:trPr>
        <w:tc>
          <w:tcPr>
            <w:tcW w:w="30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503-9095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ACET</w:t>
            </w:r>
          </w:p>
        </w:tc>
        <w:tc>
          <w:tcPr>
            <w:tcW w:w="1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17, 2026, Adicet Bio, Inc., a Delaware corporation (the “Company”), held its 2026 Annual Meeting of Stockholders (the “Annual Meeting”). At the Annual Meeting, the Company’s stockholders considered and voted on the three proposals set forth below, each of which is described in greater detail in the Company’s definitive proxy statement on Schedule 14A, which was filed with the U.S. Securities and Exchange Commission on April 29, 2026. The final voting results are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 Director Nominees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elected Jeffrey Chodakewitz, Steve Dubin and Michael Grissinger as Class II directors of the Company, for a three-year term ending at the annual meeting of stockholders to be held in 2029 and until their successors have been duly elected and qualified or until their earlier resignation or removal. The results of the stockholders’ vote with respect to the election of the Class II directors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0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Chodakewitz</w:t>
            </w: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4,629,969</w:t>
            </w:r>
          </w:p>
        </w:tc>
        <w:tc>
          <w:tcPr>
            <w:tcW w:w="90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center"/>
              <w:ind w:left="810"/>
              <w:spacing w:after="0"/>
              <w:rPr>
                <w:sz w:val="20"/>
                <w:szCs w:val="20"/>
                <w:color w:val="auto"/>
              </w:rPr>
            </w:pPr>
            <w:r>
              <w:rPr>
                <w:rFonts w:ascii="Times New Roman" w:cs="Times New Roman" w:eastAsia="Times New Roman" w:hAnsi="Times New Roman"/>
                <w:sz w:val="18"/>
                <w:szCs w:val="18"/>
                <w:color w:val="auto"/>
                <w:w w:val="99"/>
              </w:rPr>
              <w:t>732,047</w:t>
            </w:r>
          </w:p>
        </w:tc>
        <w:tc>
          <w:tcPr>
            <w:tcW w:w="3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1,384,153</w:t>
            </w:r>
          </w:p>
        </w:tc>
        <w:tc>
          <w:tcPr>
            <w:tcW w:w="280" w:type="dxa"/>
            <w:vAlign w:val="bottom"/>
            <w:shd w:val="clear" w:color="auto" w:fill="CFF0FC"/>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Dubin</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4,596,116</w:t>
            </w:r>
          </w:p>
        </w:tc>
        <w:tc>
          <w:tcPr>
            <w:tcW w:w="900" w:type="dxa"/>
            <w:vAlign w:val="bottom"/>
          </w:tcPr>
          <w:p>
            <w:pPr>
              <w:spacing w:after="0"/>
              <w:rPr>
                <w:sz w:val="18"/>
                <w:szCs w:val="18"/>
                <w:color w:val="auto"/>
              </w:rPr>
            </w:pPr>
          </w:p>
        </w:tc>
        <w:tc>
          <w:tcPr>
            <w:tcW w:w="20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765,900</w:t>
            </w:r>
          </w:p>
        </w:tc>
        <w:tc>
          <w:tcPr>
            <w:tcW w:w="380" w:type="dxa"/>
            <w:vAlign w:val="bottom"/>
          </w:tcPr>
          <w:p>
            <w:pPr>
              <w:spacing w:after="0"/>
              <w:rPr>
                <w:sz w:val="18"/>
                <w:szCs w:val="18"/>
                <w:color w:val="auto"/>
              </w:rPr>
            </w:pPr>
          </w:p>
        </w:tc>
        <w:tc>
          <w:tcPr>
            <w:tcW w:w="18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1,384,153</w:t>
            </w:r>
          </w:p>
        </w:tc>
        <w:tc>
          <w:tcPr>
            <w:tcW w:w="280" w:type="dxa"/>
            <w:vAlign w:val="bottom"/>
          </w:tcPr>
          <w:p>
            <w:pPr>
              <w:spacing w:after="0"/>
              <w:rPr>
                <w:sz w:val="18"/>
                <w:szCs w:val="18"/>
                <w:color w:val="auto"/>
              </w:rPr>
            </w:pPr>
          </w:p>
        </w:tc>
      </w:tr>
      <w:tr>
        <w:trPr>
          <w:trHeight w:val="216"/>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Grissinger</w:t>
            </w: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5,257,041</w:t>
            </w:r>
          </w:p>
        </w:tc>
        <w:tc>
          <w:tcPr>
            <w:tcW w:w="90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center"/>
              <w:ind w:left="810"/>
              <w:spacing w:after="0"/>
              <w:rPr>
                <w:sz w:val="20"/>
                <w:szCs w:val="20"/>
                <w:color w:val="auto"/>
              </w:rPr>
            </w:pPr>
            <w:r>
              <w:rPr>
                <w:rFonts w:ascii="Times New Roman" w:cs="Times New Roman" w:eastAsia="Times New Roman" w:hAnsi="Times New Roman"/>
                <w:sz w:val="18"/>
                <w:szCs w:val="18"/>
                <w:color w:val="auto"/>
                <w:w w:val="99"/>
              </w:rPr>
              <w:t>104,975</w:t>
            </w:r>
          </w:p>
        </w:tc>
        <w:tc>
          <w:tcPr>
            <w:tcW w:w="3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1,384,153</w:t>
            </w:r>
          </w:p>
        </w:tc>
        <w:tc>
          <w:tcPr>
            <w:tcW w:w="2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Non-Binding Advisory Vote on Compensation of the Company’s Named Executive Officers</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compensation of the Company’s named executive officers. The results of the stockholders’ vote with respect to the compensation of the Company’s named executive officers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4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4"/>
        </w:trPr>
        <w:tc>
          <w:tcPr>
            <w:tcW w:w="218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7"/>
              </w:rPr>
              <w:t>4,611,540</w:t>
            </w:r>
          </w:p>
        </w:tc>
        <w:tc>
          <w:tcPr>
            <w:tcW w:w="27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745,537</w:t>
            </w:r>
          </w:p>
        </w:tc>
        <w:tc>
          <w:tcPr>
            <w:tcW w:w="9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4,939</w:t>
            </w:r>
          </w:p>
        </w:tc>
        <w:tc>
          <w:tcPr>
            <w:tcW w:w="5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1,384,153</w:t>
            </w:r>
          </w:p>
        </w:tc>
        <w:tc>
          <w:tcPr>
            <w:tcW w:w="280" w:type="dxa"/>
            <w:vAlign w:val="bottom"/>
            <w:shd w:val="clear" w:color="auto" w:fill="CFF0FC"/>
          </w:tcPr>
          <w:p>
            <w:pPr>
              <w:spacing w:after="0"/>
              <w:rPr>
                <w:sz w:val="20"/>
                <w:szCs w:val="20"/>
                <w:color w:val="auto"/>
              </w:rPr>
            </w:pPr>
          </w:p>
        </w:tc>
      </w:tr>
      <w:tr>
        <w:trPr>
          <w:trHeight w:val="22"/>
        </w:trPr>
        <w:tc>
          <w:tcPr>
            <w:tcW w:w="14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Ratification of Appointment of the Company’s Independent Registered Public Accounting Firm</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selection of KPMG LLP as the Company’s independent registered public accounting firm for the fiscal year ending December 31, 2026. The results of the stockholders’ vote with respect to such ratification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4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4"/>
        </w:trPr>
        <w:tc>
          <w:tcPr>
            <w:tcW w:w="218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7"/>
              </w:rPr>
              <w:t>6,719,352</w:t>
            </w:r>
          </w:p>
        </w:tc>
        <w:tc>
          <w:tcPr>
            <w:tcW w:w="27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25,206</w:t>
            </w:r>
          </w:p>
        </w:tc>
        <w:tc>
          <w:tcPr>
            <w:tcW w:w="9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1,611</w:t>
            </w:r>
          </w:p>
        </w:tc>
        <w:tc>
          <w:tcPr>
            <w:tcW w:w="5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
        </w:trPr>
        <w:tc>
          <w:tcPr>
            <w:tcW w:w="14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ADICET BIO,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7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Harvey</w:t>
            </w:r>
          </w:p>
        </w:tc>
      </w:tr>
      <w:tr>
        <w:trPr>
          <w:trHeight w:val="189"/>
        </w:trPr>
        <w:tc>
          <w:tcPr>
            <w:tcW w:w="3480" w:type="dxa"/>
            <w:vAlign w:val="bottom"/>
          </w:tcPr>
          <w:p>
            <w:pPr>
              <w:spacing w:after="0"/>
              <w:rPr>
                <w:sz w:val="16"/>
                <w:szCs w:val="16"/>
                <w:color w:val="auto"/>
              </w:rPr>
            </w:pPr>
          </w:p>
        </w:tc>
        <w:tc>
          <w:tcPr>
            <w:tcW w:w="2720" w:type="dxa"/>
            <w:vAlign w:val="bottom"/>
          </w:tcPr>
          <w:p>
            <w:pPr>
              <w:ind w:left="2040"/>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Nick Harvey</w:t>
            </w:r>
          </w:p>
        </w:tc>
      </w:tr>
      <w:tr>
        <w:trPr>
          <w:trHeight w:val="236"/>
        </w:trPr>
        <w:tc>
          <w:tcPr>
            <w:tcW w:w="3480" w:type="dxa"/>
            <w:vAlign w:val="bottom"/>
          </w:tcPr>
          <w:p>
            <w:pPr>
              <w:spacing w:after="0"/>
              <w:rPr>
                <w:sz w:val="20"/>
                <w:szCs w:val="20"/>
                <w:color w:val="auto"/>
              </w:rPr>
            </w:pPr>
          </w:p>
        </w:tc>
        <w:tc>
          <w:tcPr>
            <w:tcW w:w="2720" w:type="dxa"/>
            <w:vAlign w:val="bottom"/>
          </w:tcPr>
          <w:p>
            <w:pPr>
              <w:ind w:left="204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34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2026-06-18T15:04:58Z</dcterms:created>
  <dcterms:modified xsi:type="dcterms:W3CDTF">2026-06-18T15:04:58Z</dcterms:modified>
</cp:coreProperties>
</file>