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60" w:hanging="452"/>
        <w:spacing w:after="0" w:line="224" w:lineRule="auto"/>
        <w:tabs>
          <w:tab w:leader="none" w:pos="46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ind w:left="460" w:hanging="452"/>
        <w:spacing w:after="0" w:line="219" w:lineRule="auto"/>
        <w:tabs>
          <w:tab w:leader="none" w:pos="46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406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40" w:type="dxa"/>
            <w:vAlign w:val="bottom"/>
            <w:tcBorders>
              <w:bottom w:val="single" w:sz="8" w:color="auto"/>
            </w:tcBorders>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to</w:t>
            </w:r>
          </w:p>
        </w:tc>
      </w:tr>
      <w:tr>
        <w:trPr>
          <w:trHeight w:val="193"/>
        </w:trPr>
        <w:tc>
          <w:tcPr>
            <w:tcW w:w="2440" w:type="dxa"/>
            <w:vAlign w:val="bottom"/>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w w:val="97"/>
              </w:rPr>
              <w:t>Commission File No. 001-38359</w:t>
            </w:r>
          </w:p>
        </w:tc>
      </w:tr>
    </w:tbl>
    <w:p>
      <w:pPr>
        <w:spacing w:after="0" w:line="57" w:lineRule="exact"/>
        <w:rPr>
          <w:sz w:val="24"/>
          <w:szCs w:val="24"/>
          <w:color w:val="auto"/>
        </w:rPr>
      </w:pPr>
    </w:p>
    <w:tbl>
      <w:tblPr>
        <w:tblLayout w:type="fixed"/>
        <w:tblInd w:w="1940" w:type="dxa"/>
        <w:tblCellMar>
          <w:top w:w="0" w:type="dxa"/>
          <w:left w:w="0" w:type="dxa"/>
          <w:bottom w:w="0" w:type="dxa"/>
          <w:right w:w="0" w:type="dxa"/>
        </w:tblCellMar>
      </w:tblPr>
      <w:tr>
        <w:trPr>
          <w:trHeight w:val="20"/>
        </w:trPr>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92"/>
        </w:trPr>
        <w:tc>
          <w:tcPr>
            <w:tcW w:w="1960" w:type="dxa"/>
            <w:vAlign w:val="bottom"/>
          </w:tcPr>
          <w:p>
            <w:pPr>
              <w:spacing w:after="0"/>
              <w:rPr>
                <w:sz w:val="24"/>
                <w:szCs w:val="24"/>
                <w:color w:val="auto"/>
              </w:rPr>
            </w:pPr>
          </w:p>
        </w:tc>
        <w:tc>
          <w:tcPr>
            <w:tcW w:w="5020" w:type="dxa"/>
            <w:vAlign w:val="bottom"/>
            <w:gridSpan w:val="3"/>
          </w:tcPr>
          <w:p>
            <w:pPr>
              <w:jc w:val="center"/>
              <w:ind w:right="1497"/>
              <w:spacing w:after="0" w:line="392" w:lineRule="exact"/>
              <w:rPr>
                <w:sz w:val="20"/>
                <w:szCs w:val="20"/>
                <w:color w:val="auto"/>
              </w:rPr>
            </w:pPr>
            <w:r>
              <w:rPr>
                <w:rFonts w:ascii="Times New Roman" w:cs="Times New Roman" w:eastAsia="Times New Roman" w:hAnsi="Times New Roman"/>
                <w:sz w:val="36"/>
                <w:szCs w:val="36"/>
                <w:b w:val="1"/>
                <w:bCs w:val="1"/>
                <w:color w:val="auto"/>
                <w:w w:val="99"/>
              </w:rPr>
              <w:t>Adicet Bio, Inc.</w:t>
            </w:r>
          </w:p>
        </w:tc>
      </w:tr>
      <w:tr>
        <w:trPr>
          <w:trHeight w:val="166"/>
        </w:trPr>
        <w:tc>
          <w:tcPr>
            <w:tcW w:w="1960" w:type="dxa"/>
            <w:vAlign w:val="bottom"/>
          </w:tcPr>
          <w:p>
            <w:pPr>
              <w:spacing w:after="0"/>
              <w:rPr>
                <w:sz w:val="14"/>
                <w:szCs w:val="14"/>
                <w:color w:val="auto"/>
              </w:rPr>
            </w:pPr>
          </w:p>
        </w:tc>
        <w:tc>
          <w:tcPr>
            <w:tcW w:w="5020" w:type="dxa"/>
            <w:vAlign w:val="bottom"/>
            <w:gridSpan w:val="3"/>
          </w:tcPr>
          <w:p>
            <w:pPr>
              <w:jc w:val="center"/>
              <w:ind w:right="1537"/>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r>
      <w:tr>
        <w:trPr>
          <w:trHeight w:val="56"/>
        </w:trPr>
        <w:tc>
          <w:tcPr>
            <w:tcW w:w="1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180" w:type="dxa"/>
            <w:vAlign w:val="bottom"/>
          </w:tcPr>
          <w:p>
            <w:pPr>
              <w:spacing w:after="0"/>
              <w:rPr>
                <w:sz w:val="4"/>
                <w:szCs w:val="4"/>
                <w:color w:val="auto"/>
              </w:rPr>
            </w:pPr>
          </w:p>
        </w:tc>
      </w:tr>
      <w:tr>
        <w:trPr>
          <w:trHeight w:val="176"/>
        </w:trPr>
        <w:tc>
          <w:tcPr>
            <w:tcW w:w="1960" w:type="dxa"/>
            <w:vAlign w:val="bottom"/>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5020" w:type="dxa"/>
            <w:vAlign w:val="bottom"/>
            <w:gridSpan w:val="3"/>
          </w:tcPr>
          <w:p>
            <w:pPr>
              <w:jc w:val="center"/>
              <w:ind w:left="3948"/>
              <w:spacing w:after="0"/>
              <w:rPr>
                <w:sz w:val="20"/>
                <w:szCs w:val="20"/>
                <w:color w:val="auto"/>
              </w:rPr>
            </w:pPr>
            <w:r>
              <w:rPr>
                <w:rFonts w:ascii="Times New Roman" w:cs="Times New Roman" w:eastAsia="Times New Roman" w:hAnsi="Times New Roman"/>
                <w:sz w:val="13"/>
                <w:szCs w:val="13"/>
                <w:b w:val="1"/>
                <w:bCs w:val="1"/>
                <w:color w:val="auto"/>
                <w:w w:val="98"/>
              </w:rPr>
              <w:t>81-3305277</w:t>
            </w:r>
          </w:p>
        </w:tc>
      </w:tr>
      <w:tr>
        <w:trPr>
          <w:trHeight w:val="135"/>
        </w:trPr>
        <w:tc>
          <w:tcPr>
            <w:tcW w:w="1960" w:type="dxa"/>
            <w:vAlign w:val="bottom"/>
          </w:tcPr>
          <w:p>
            <w:pPr>
              <w:jc w:val="center"/>
              <w:ind w:right="2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80" w:type="dxa"/>
            <w:vAlign w:val="bottom"/>
          </w:tcPr>
          <w:p>
            <w:pPr>
              <w:jc w:val="center"/>
              <w:ind w:left="1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960" w:type="dxa"/>
            <w:vAlign w:val="bottom"/>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58"/>
        </w:trPr>
        <w:tc>
          <w:tcPr>
            <w:tcW w:w="1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20" w:type="dxa"/>
            <w:vAlign w:val="bottom"/>
            <w:gridSpan w:val="2"/>
          </w:tcPr>
          <w:p>
            <w:pPr>
              <w:jc w:val="center"/>
              <w:ind w:right="2117"/>
              <w:spacing w:after="0"/>
              <w:rPr>
                <w:sz w:val="20"/>
                <w:szCs w:val="20"/>
                <w:color w:val="auto"/>
              </w:rPr>
            </w:pPr>
            <w:r>
              <w:rPr>
                <w:rFonts w:ascii="Times New Roman" w:cs="Times New Roman" w:eastAsia="Times New Roman" w:hAnsi="Times New Roman"/>
                <w:sz w:val="13"/>
                <w:szCs w:val="13"/>
                <w:b w:val="1"/>
                <w:bCs w:val="1"/>
                <w:color w:val="auto"/>
                <w:w w:val="97"/>
              </w:rPr>
              <w:t>131 Dartmouth Street, 3rd Floor</w:t>
            </w:r>
          </w:p>
        </w:tc>
      </w:tr>
      <w:tr>
        <w:trPr>
          <w:trHeight w:val="135"/>
        </w:trPr>
        <w:tc>
          <w:tcPr>
            <w:tcW w:w="1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20" w:type="dxa"/>
            <w:vAlign w:val="bottom"/>
            <w:gridSpan w:val="2"/>
          </w:tcPr>
          <w:p>
            <w:pPr>
              <w:jc w:val="center"/>
              <w:ind w:right="2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Boston, MA 02116</w:t>
            </w:r>
          </w:p>
        </w:tc>
      </w:tr>
      <w:tr>
        <w:trPr>
          <w:trHeight w:val="151"/>
        </w:trPr>
        <w:tc>
          <w:tcPr>
            <w:tcW w:w="1960" w:type="dxa"/>
            <w:vAlign w:val="bottom"/>
          </w:tcPr>
          <w:p>
            <w:pPr>
              <w:spacing w:after="0"/>
              <w:rPr>
                <w:sz w:val="13"/>
                <w:szCs w:val="13"/>
                <w:color w:val="auto"/>
              </w:rPr>
            </w:pPr>
          </w:p>
        </w:tc>
        <w:tc>
          <w:tcPr>
            <w:tcW w:w="2840" w:type="dxa"/>
            <w:vAlign w:val="bottom"/>
            <w:gridSpan w:val="2"/>
          </w:tcPr>
          <w:p>
            <w:pPr>
              <w:jc w:val="center"/>
              <w:ind w:left="488"/>
              <w:spacing w:after="0"/>
              <w:rPr>
                <w:sz w:val="20"/>
                <w:szCs w:val="20"/>
                <w:color w:val="auto"/>
              </w:rPr>
            </w:pPr>
            <w:r>
              <w:rPr>
                <w:rFonts w:ascii="Times New Roman" w:cs="Times New Roman" w:eastAsia="Times New Roman" w:hAnsi="Times New Roman"/>
                <w:sz w:val="13"/>
                <w:szCs w:val="13"/>
                <w:b w:val="1"/>
                <w:bCs w:val="1"/>
                <w:color w:val="auto"/>
                <w:w w:val="95"/>
              </w:rPr>
              <w:t>(650) 503-9095</w:t>
            </w:r>
          </w:p>
        </w:tc>
        <w:tc>
          <w:tcPr>
            <w:tcW w:w="2180" w:type="dxa"/>
            <w:vAlign w:val="bottom"/>
          </w:tcPr>
          <w:p>
            <w:pPr>
              <w:spacing w:after="0"/>
              <w:rPr>
                <w:sz w:val="13"/>
                <w:szCs w:val="13"/>
                <w:color w:val="auto"/>
              </w:rPr>
            </w:pPr>
          </w:p>
        </w:tc>
      </w:tr>
    </w:tbl>
    <w:p>
      <w:pPr>
        <w:ind w:left="2500"/>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169"/>
        </w:trPr>
        <w:tc>
          <w:tcPr>
            <w:tcW w:w="3620" w:type="dxa"/>
            <w:vAlign w:val="bottom"/>
            <w:tcBorders>
              <w:top w:val="single" w:sz="8" w:color="auto"/>
              <w:left w:val="single" w:sz="8" w:color="auto"/>
              <w:bottom w:val="single" w:sz="8" w:color="auto"/>
            </w:tcBorders>
          </w:tcPr>
          <w:p>
            <w:pPr>
              <w:jc w:val="center"/>
              <w:ind w:left="836"/>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900" w:type="dxa"/>
            <w:vAlign w:val="bottom"/>
            <w:tcBorders>
              <w:top w:val="single" w:sz="8" w:color="auto"/>
              <w:bottom w:val="single" w:sz="8" w:color="auto"/>
              <w:right w:val="single" w:sz="8" w:color="auto"/>
            </w:tcBorders>
          </w:tcPr>
          <w:p>
            <w:pPr>
              <w:spacing w:after="0"/>
              <w:rPr>
                <w:sz w:val="14"/>
                <w:szCs w:val="14"/>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660" w:type="dxa"/>
            <w:vAlign w:val="bottom"/>
            <w:tcBorders>
              <w:top w:val="single" w:sz="8" w:color="auto"/>
              <w:bottom w:val="single" w:sz="8" w:color="auto"/>
            </w:tcBorders>
          </w:tcPr>
          <w:p>
            <w:pPr>
              <w:spacing w:after="0"/>
              <w:rPr>
                <w:sz w:val="14"/>
                <w:szCs w:val="14"/>
                <w:color w:val="auto"/>
              </w:rPr>
            </w:pPr>
          </w:p>
        </w:tc>
        <w:tc>
          <w:tcPr>
            <w:tcW w:w="3820" w:type="dxa"/>
            <w:vAlign w:val="bottom"/>
            <w:tcBorders>
              <w:top w:val="single" w:sz="8" w:color="auto"/>
              <w:bottom w:val="single" w:sz="8" w:color="auto"/>
              <w:right w:val="single" w:sz="8" w:color="auto"/>
            </w:tcBorders>
          </w:tcPr>
          <w:p>
            <w:pPr>
              <w:jc w:val="center"/>
              <w:ind w:right="616"/>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c>
          <w:tcPr>
            <w:tcW w:w="0" w:type="dxa"/>
            <w:vAlign w:val="bottom"/>
          </w:tcPr>
          <w:p>
            <w:pPr>
              <w:spacing w:after="0"/>
              <w:rPr>
                <w:sz w:val="1"/>
                <w:szCs w:val="1"/>
                <w:color w:val="auto"/>
              </w:rPr>
            </w:pPr>
          </w:p>
        </w:tc>
      </w:tr>
      <w:tr>
        <w:trPr>
          <w:trHeight w:val="112"/>
        </w:trPr>
        <w:tc>
          <w:tcPr>
            <w:tcW w:w="3620" w:type="dxa"/>
            <w:vAlign w:val="bottom"/>
            <w:tcBorders>
              <w:left w:val="single" w:sz="8" w:color="auto"/>
              <w:bottom w:val="single" w:sz="8" w:color="auto"/>
            </w:tcBorders>
          </w:tcPr>
          <w:p>
            <w:pPr>
              <w:jc w:val="center"/>
              <w:ind w:left="836"/>
              <w:spacing w:after="0" w:line="112" w:lineRule="exact"/>
              <w:rPr>
                <w:sz w:val="20"/>
                <w:szCs w:val="20"/>
                <w:color w:val="auto"/>
              </w:rPr>
            </w:pPr>
            <w:r>
              <w:rPr>
                <w:rFonts w:ascii="Times New Roman" w:cs="Times New Roman" w:eastAsia="Times New Roman" w:hAnsi="Times New Roman"/>
                <w:sz w:val="12"/>
                <w:szCs w:val="12"/>
                <w:color w:val="auto"/>
              </w:rPr>
              <w:t>Common Stock, par value $0.0001 per share</w:t>
            </w:r>
          </w:p>
        </w:tc>
        <w:tc>
          <w:tcPr>
            <w:tcW w:w="90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color w:val="auto"/>
              </w:rPr>
              <w:t>ACET</w:t>
            </w:r>
          </w:p>
        </w:tc>
        <w:tc>
          <w:tcPr>
            <w:tcW w:w="660" w:type="dxa"/>
            <w:vAlign w:val="bottom"/>
            <w:tcBorders>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jc w:val="center"/>
              <w:ind w:right="596"/>
              <w:spacing w:after="0" w:line="112" w:lineRule="exact"/>
              <w:rPr>
                <w:sz w:val="20"/>
                <w:szCs w:val="20"/>
                <w:color w:val="auto"/>
              </w:rPr>
            </w:pPr>
            <w:r>
              <w:rPr>
                <w:rFonts w:ascii="Times New Roman" w:cs="Times New Roman" w:eastAsia="Times New Roman" w:hAnsi="Times New Roman"/>
                <w:sz w:val="12"/>
                <w:szCs w:val="12"/>
                <w:color w:val="auto"/>
              </w:rPr>
              <w:t>The Nasdaq Capital Market</w:t>
            </w: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380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52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382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r>
        <w:trPr>
          <w:trHeight w:val="248"/>
        </w:trPr>
        <w:tc>
          <w:tcPr>
            <w:tcW w:w="742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3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74"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6"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502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 w:lineRule="exact"/>
        <w:rPr>
          <w:sz w:val="24"/>
          <w:szCs w:val="24"/>
          <w:color w:val="auto"/>
        </w:rPr>
      </w:pPr>
    </w:p>
    <w:p>
      <w:pPr>
        <w:ind w:right="4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74" w:lineRule="exact"/>
        <w:rPr>
          <w:sz w:val="24"/>
          <w:szCs w:val="24"/>
          <w:color w:val="auto"/>
        </w:rPr>
      </w:pPr>
    </w:p>
    <w:p>
      <w:pPr>
        <w:jc w:val="both"/>
        <w:ind w:right="60"/>
        <w:spacing w:after="0" w:line="241" w:lineRule="auto"/>
        <w:rPr>
          <w:sz w:val="20"/>
          <w:szCs w:val="20"/>
          <w:color w:val="auto"/>
        </w:rPr>
      </w:pPr>
      <w:r>
        <w:rPr>
          <w:rFonts w:ascii="Times New Roman" w:cs="Times New Roman" w:eastAsia="Times New Roman" w:hAnsi="Times New Roman"/>
          <w:sz w:val="14"/>
          <w:szCs w:val="14"/>
          <w:color w:val="auto"/>
        </w:rPr>
        <w:t>As of June 30, 2025, the aggregate market value of the registrant’s voting and non-voting common stock held by non-affiliates was approximately $50.5 million based on a closing price of $0.61 per share as quoted by The Nasdaq Global Market on June 30, 2025.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19, 2026, there were 9,348,236 shares of common stock, $0.0001 par value per share, outstanding.</w:t>
      </w:r>
    </w:p>
    <w:p>
      <w:pPr>
        <w:spacing w:after="0" w:line="5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certain information from the registrant’s definitive Proxy Statement for its 2026 annual meeting of shareholders, scheduled to be held on June 17, 2026, which the registrant has filed pursuant to Regulation 14A with the Securities and Exchange Commission not later than 120 days after the registrant’s fiscal year end of December 31, 2025.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amended report on Form 10-K/A (the “Amendment”) amends the Annual Report on Form 10-K of Adicet Bio, Inc. (the “Company”) for the year ended December 31, 2025, initially filed with the Securities and Exchange Commission (the “SEC”) on March 12, 2026 (the “Original Filing”), for the purpose of updating the disclosure in Item 9A “Controls and Procedures.” The Original Filing inadvertently omitted (a) a statement disclosing the conclusions of the Company’s principal executive and principal financial officers regarding the effectiveness of the Company’s disclosure controls and procedures as of December 31, 2025 and (b) a statement that the disclosure controls and procedures are designed to provide reasonable assurance of achieving their objectives and the conclusions of the principal executive officer and principal financial officer that the controls and procedures are, in fact, effective at the reasonable assurance level. This Amendment corrects such omission and amends and replaces Item 9A “Controls and Procedures” in its entirety.</w:t>
      </w:r>
    </w:p>
    <w:p>
      <w:pPr>
        <w:spacing w:after="0" w:line="19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Except as described above, no other changes are being made to the Original Filing, and this Amendment consists only of the facing page, this explanatory note, Item 9A “Controls and Procedures” and the signature page to the Amendment. Further, except as expressly stated, this Amendment does not reflect events occurring after the filing of the Original Filing or modify or update in any way any of the other items or disclosures contained in the Original Filing, including, without limitation, the consolidated financial statements and the related footnotes. Accordingly, this Amendment should be read in conjunction with the Original Filing and the Registrant’s other filings with the SEC subsequent to the filing of the Original Filing. The filing of this Amendment is not an admission that the Original Filing, when filed, included any untrue statement of a material fact or omitted to state a material fact necessary to make a statement not misleading.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(our principal executive officer and principal financial officer, respectively),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w:t>
      </w:r>
    </w:p>
    <w:p>
      <w:pPr>
        <w:spacing w:after="0" w:line="18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6"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Our disclosure controls and procedures are designed to provide reasonable assurance of achieving their objectives. Based on that evaluation, our management, with the participation of our Chief Executive Officer and Chief Financial Officer, have concluded that our disclosure controls and procedures were effective as of December 31, 2025. Accordingly, management believes that the financial statements included in this Annual Report on Form 10-K present fairly in all material respects our financial position, results of operations and cash flows for the period presented.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13a-15(f) and 15d-15(f) under the Exchange Act). Our internal control over financial reporting is designed to provide reasonable assurances regarding the reliability of financial reporting and the preparation of our consolidated financial statements in accordance with U.S. GAAP, and includes those policies and procedures that:</w:t>
      </w:r>
    </w:p>
    <w:p>
      <w:pPr>
        <w:spacing w:after="0" w:line="72"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assessed our internal control over financial reporting as of December 31, 2025. Management based its assessment on criteria established in Internal Control—Integrated Framework issued by the Committee of Sponsoring Organizations of the Treadway Commission and concluded that our internal control over financial reporting was effective at the reasonable assurance level as of December 31, 2025.</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from our registered public accounting firm regarding internal control over financial reporting. As we are a non-accelerated filer, management’s report is not subject to attestation by our registered public accounting firm.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assure you that material weaknesses or significant deficiencies will not occur in the future or that we will be able to remediate such weaknesses or deficiencies in a timely manner, which could impair our ability to accurately and timely report our financial position, results of operations or cash flows. For additional information, see the related risks in the section entitled "Risk Factors"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Other than the remediation plan described in our Annual Report on Form 10-K filed with the SEC on March 6, 2025, no change in our internal control over our financial reporting (as defined in Rules 13a-15(f) and 15d-15(f) under the Exchange Act) occurred during the year ended December 31,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Internal Controls</w:t>
      </w:r>
    </w:p>
    <w:p>
      <w:pPr>
        <w:spacing w:after="0" w:line="229"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Amendment:</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0" w:type="dxa"/>
            <w:vAlign w:val="bottom"/>
            <w:gridSpan w:val="3"/>
          </w:tcPr>
          <w:p>
            <w:pPr>
              <w:ind w:left="37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61"/>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0" w:type="dxa"/>
            <w:vAlign w:val="bottom"/>
            <w:gridSpan w:val="3"/>
            <w:vMerge w:val="restart"/>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Rule 15d-14(a) of the Securities Exchange Act of 1934, as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47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2"/>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47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gridSpan w:val="2"/>
          </w:tcPr>
          <w:p>
            <w:pPr>
              <w:spacing w:after="0" w:line="20" w:lineRule="exact"/>
              <w:rPr>
                <w:sz w:val="1"/>
                <w:szCs w:val="1"/>
                <w:color w:val="auto"/>
              </w:rPr>
            </w:pPr>
          </w:p>
        </w:tc>
        <w:tc>
          <w:tcPr>
            <w:tcW w:w="4920" w:type="dxa"/>
            <w:vAlign w:val="bottom"/>
            <w:tcBorders>
              <w:right w:val="single" w:sz="8" w:color="0000EE"/>
            </w:tcBorders>
            <w:shd w:val="clear" w:color="auto" w:fill="0000EE"/>
          </w:tcPr>
          <w:p>
            <w:pPr>
              <w:spacing w:after="0" w:line="20" w:lineRule="exact"/>
              <w:rPr>
                <w:sz w:val="1"/>
                <w:szCs w:val="1"/>
                <w:color w:val="auto"/>
              </w:rPr>
            </w:pPr>
          </w:p>
        </w:tc>
        <w:tc>
          <w:tcPr>
            <w:tcW w:w="5080" w:type="dxa"/>
            <w:vAlign w:val="bottom"/>
            <w:tcBorders>
              <w:left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Adicet Bio, Inc.</w:t>
            </w:r>
          </w:p>
        </w:tc>
      </w:tr>
      <w:tr>
        <w:trPr>
          <w:trHeight w:val="48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5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Chen Schor</w:t>
            </w:r>
          </w:p>
        </w:tc>
      </w:tr>
      <w:tr>
        <w:trPr>
          <w:trHeight w:val="189"/>
        </w:trPr>
        <w:tc>
          <w:tcPr>
            <w:tcW w:w="36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9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Chen Schor</w:t>
            </w:r>
          </w:p>
        </w:tc>
      </w:tr>
      <w:tr>
        <w:trPr>
          <w:trHeight w:val="216"/>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r>
        <w:trPr>
          <w:trHeight w:val="236"/>
        </w:trPr>
        <w:tc>
          <w:tcPr>
            <w:tcW w:w="3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317"/>
        </w:trPr>
        <w:tc>
          <w:tcPr>
            <w:tcW w:w="36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jc w:val="cente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RULE 13a-14(a) / RULE 15d-14(a) OF THE SECURITIES EXCHANGE ACT OF 1934, AS AMENDED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Chen Schor, certify that:</w:t>
      </w:r>
    </w:p>
    <w:p>
      <w:pPr>
        <w:spacing w:after="0" w:line="221"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No.1 to annual report on Form 10-K/A for the fiscal year ended December 31, 2025 of Adicet Bio, Inc. (the “registrant”);</w:t>
      </w:r>
    </w:p>
    <w:p>
      <w:pPr>
        <w:spacing w:after="0" w:line="207"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6"/>
          <w:szCs w:val="16"/>
          <w:color w:val="auto"/>
        </w:rPr>
      </w:pPr>
    </w:p>
    <w:p>
      <w:pPr>
        <w:spacing w:after="0" w:line="350" w:lineRule="exact"/>
        <w:rPr>
          <w:rFonts w:ascii="Times New Roman" w:cs="Times New Roman" w:eastAsia="Times New Roman" w:hAnsi="Times New Roman"/>
          <w:sz w:val="16"/>
          <w:szCs w:val="16"/>
          <w:color w:val="auto"/>
        </w:rPr>
      </w:pPr>
    </w:p>
    <w:p>
      <w:pPr>
        <w:ind w:left="1500" w:right="80" w:hanging="369"/>
        <w:spacing w:after="0" w:line="281" w:lineRule="auto"/>
        <w:tabs>
          <w:tab w:leader="none" w:pos="15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6"/>
          <w:szCs w:val="16"/>
          <w:color w:val="auto"/>
        </w:rPr>
      </w:pPr>
    </w:p>
    <w:p>
      <w:pPr>
        <w:ind w:left="1500" w:right="80" w:hanging="369"/>
        <w:spacing w:after="0" w:line="281" w:lineRule="auto"/>
        <w:tabs>
          <w:tab w:leader="none" w:pos="15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16"/>
          <w:szCs w:val="16"/>
          <w:color w:val="auto"/>
        </w:rPr>
      </w:pPr>
    </w:p>
    <w:p>
      <w:pPr>
        <w:ind w:left="1500" w:right="100" w:hanging="369"/>
        <w:spacing w:after="0" w:line="298" w:lineRule="auto"/>
        <w:tabs>
          <w:tab w:leader="none" w:pos="15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1500" w:right="120" w:hanging="369"/>
        <w:spacing w:after="0" w:line="281" w:lineRule="auto"/>
        <w:tabs>
          <w:tab w:leader="none" w:pos="15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6"/>
          <w:szCs w:val="16"/>
          <w:color w:val="auto"/>
        </w:rPr>
      </w:pPr>
    </w:p>
    <w:p>
      <w:pPr>
        <w:ind w:left="380" w:right="380" w:hanging="372"/>
        <w:spacing w:after="0" w:line="29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1500" w:right="80" w:hanging="369"/>
        <w:spacing w:after="0" w:line="298" w:lineRule="auto"/>
        <w:tabs>
          <w:tab w:leader="none" w:pos="15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1500" w:right="120" w:hanging="369"/>
        <w:spacing w:after="0" w:line="298" w:lineRule="auto"/>
        <w:tabs>
          <w:tab w:leader="none" w:pos="15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 Chen Schor</w:t>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Chen Schor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-114935</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8" w:name="page9"/>
    <w:bookmarkEnd w:id="8"/>
    <w:p>
      <w:pPr>
        <w:ind w:left="104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1" w:lineRule="exact"/>
        <w:rPr>
          <w:sz w:val="20"/>
          <w:szCs w:val="20"/>
          <w:color w:val="auto"/>
        </w:rPr>
      </w:pPr>
    </w:p>
    <w:p>
      <w:pPr>
        <w:jc w:val="center"/>
        <w:ind w:right="40"/>
        <w:spacing w:after="0" w:line="301" w:lineRule="auto"/>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 RULE 13a-14(a) / RULE 15d-14(a) OF THE SECURITIES EXCHANGE ACT OF 1934, AS AMENDED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Harvey, certify that:</w:t>
      </w:r>
    </w:p>
    <w:p>
      <w:pPr>
        <w:spacing w:after="0" w:line="221"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No.1 to annual report on Form 10-K/A for the fiscal year ended December 31, 2025 of Adicet Bio, Inc. (the “registrant”);</w:t>
      </w:r>
    </w:p>
    <w:p>
      <w:pPr>
        <w:spacing w:after="0" w:line="207"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348" w:lineRule="exact"/>
        <w:rPr>
          <w:rFonts w:ascii="Times New Roman" w:cs="Times New Roman" w:eastAsia="Times New Roman" w:hAnsi="Times New Roman"/>
          <w:sz w:val="16"/>
          <w:szCs w:val="16"/>
          <w:color w:val="auto"/>
        </w:rPr>
      </w:pPr>
    </w:p>
    <w:p>
      <w:pPr>
        <w:ind w:left="1500" w:right="80" w:hanging="369"/>
        <w:spacing w:after="0" w:line="281" w:lineRule="auto"/>
        <w:tabs>
          <w:tab w:leader="none" w:pos="15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6"/>
          <w:szCs w:val="16"/>
          <w:color w:val="auto"/>
        </w:rPr>
      </w:pPr>
    </w:p>
    <w:p>
      <w:pPr>
        <w:ind w:left="1500" w:right="80" w:hanging="369"/>
        <w:spacing w:after="0" w:line="281" w:lineRule="auto"/>
        <w:tabs>
          <w:tab w:leader="none" w:pos="15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16"/>
          <w:szCs w:val="16"/>
          <w:color w:val="auto"/>
        </w:rPr>
      </w:pPr>
    </w:p>
    <w:p>
      <w:pPr>
        <w:ind w:left="1500" w:right="100" w:hanging="369"/>
        <w:spacing w:after="0" w:line="298" w:lineRule="auto"/>
        <w:tabs>
          <w:tab w:leader="none" w:pos="15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1500" w:right="120" w:hanging="369"/>
        <w:spacing w:after="0" w:line="281" w:lineRule="auto"/>
        <w:tabs>
          <w:tab w:leader="none" w:pos="15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6"/>
          <w:szCs w:val="16"/>
          <w:color w:val="auto"/>
        </w:rPr>
      </w:pPr>
    </w:p>
    <w:p>
      <w:pPr>
        <w:ind w:left="380" w:right="380" w:hanging="372"/>
        <w:spacing w:after="0" w:line="29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1500" w:right="80" w:hanging="369"/>
        <w:spacing w:after="0" w:line="298" w:lineRule="auto"/>
        <w:tabs>
          <w:tab w:leader="none" w:pos="15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1500" w:right="120" w:hanging="369"/>
        <w:spacing w:after="0" w:line="298" w:lineRule="auto"/>
        <w:tabs>
          <w:tab w:leader="none" w:pos="15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 Nick Harvey</w:t>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Nick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-114935</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(Principal Financial and Accounting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2026-05-20T15:21:48Z</dcterms:created>
  <dcterms:modified xsi:type="dcterms:W3CDTF">2026-05-20T15:21:48Z</dcterms:modified>
</cp:coreProperties>
</file>