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36"/>
        </w:rPr>
      </w:pPr>
      <w:bookmarkStart w:id="0" w:name="acet-20260630.htm"/>
      <w:bookmarkStart w:id="1" w:name="ksacet20260630"/>
      <w:bookmarkEnd w:id="0"/>
      <w:bookmarkEnd w:id="1"/>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001-38359</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44"/>
        </w:rPr>
      </w:pPr>
      <w:r>
        <w:rPr>
          <w:rFonts w:ascii="Times New Roman" w:hAnsi="Times New Roman"/>
          <w:b/>
          <w:color w:val="000000"/>
          <w:sz w:val="44"/>
        </w:rPr>
        <w:t>Adicet Bio,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jc w:val="left"/>
        <w:rPr/>
      </w:pPr>
      <w:r>
        <w:rPr/>
        <w:t> </w:t>
      </w:r>
    </w:p>
    <w:tbl>
      <w:tblPr>
        <w:tblW w:w="4558" w:type="dxa"/>
        <w:jc w:val="left"/>
        <w:tblInd w:w="0" w:type="dxa"/>
        <w:tblLayout w:type="fixed"/>
        <w:tblCellMar>
          <w:top w:w="28" w:type="dxa"/>
          <w:left w:w="28" w:type="dxa"/>
          <w:bottom w:w="28" w:type="dxa"/>
          <w:right w:w="28" w:type="dxa"/>
        </w:tblCellMar>
      </w:tblPr>
      <w:tblGrid>
        <w:gridCol w:w="2926"/>
        <w:gridCol w:w="14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81-3305277</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131 Dartmouth Street, 3rd Floor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Boston, MA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02116</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(650) 503-9095</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Securities registered pursuant to Section 12(b) of the Act:</w:t>
      </w:r>
    </w:p>
    <w:p>
      <w:pPr>
        <w:pStyle w:val="TextBody"/>
        <w:bidi w:val="0"/>
        <w:jc w:val="center"/>
        <w:rPr/>
      </w:pPr>
      <w:r>
        <w:rPr/>
        <w:t> </w:t>
      </w:r>
    </w:p>
    <w:tbl>
      <w:tblPr>
        <w:tblW w:w="8133" w:type="dxa"/>
        <w:jc w:val="left"/>
        <w:tblInd w:w="0" w:type="dxa"/>
        <w:tblLayout w:type="fixed"/>
        <w:tblCellMar>
          <w:top w:w="28" w:type="dxa"/>
          <w:left w:w="28" w:type="dxa"/>
          <w:bottom w:w="28" w:type="dxa"/>
          <w:right w:w="28" w:type="dxa"/>
        </w:tblCellMar>
      </w:tblPr>
      <w:tblGrid>
        <w:gridCol w:w="3361"/>
        <w:gridCol w:w="1456"/>
        <w:gridCol w:w="3316"/>
      </w:tblGrid>
      <w:tr>
        <w:trPr/>
        <w:tc>
          <w:tcPr>
            <w:tcW w:w="336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36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16"/>
              </w:rPr>
            </w:pPr>
            <w:r>
              <w:rPr>
                <w:rFonts w:ascii="Times New Roman" w:hAnsi="Times New Roman"/>
                <w:b/>
                <w:color w:val="000000"/>
                <w:sz w:val="16"/>
              </w:rPr>
              <w:t>Common Stock, par value $0.0001 per share</w:t>
            </w:r>
          </w:p>
        </w:tc>
        <w:tc>
          <w:tcPr>
            <w:tcW w:w="145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16"/>
              </w:rPr>
            </w:pPr>
            <w:r>
              <w:rPr>
                <w:rFonts w:ascii="Times New Roman" w:hAnsi="Times New Roman"/>
                <w:b/>
                <w:color w:val="000000"/>
                <w:sz w:val="16"/>
              </w:rPr>
              <w:t>ACET</w:t>
            </w:r>
          </w:p>
        </w:tc>
        <w:tc>
          <w:tcPr>
            <w:tcW w:w="331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sz w:val="20"/>
              </w:rPr>
            </w:pPr>
            <w:r>
              <w:rPr>
                <w:rFonts w:ascii="Times New Roman" w:hAnsi="Times New Roman"/>
                <w:b/>
                <w:color w:val="000000"/>
                <w:sz w:val="16"/>
              </w:rPr>
              <w:t>The Nasdaq</w:t>
            </w:r>
            <w:r>
              <w:rPr>
                <w:rFonts w:ascii="Times New Roman" w:hAnsi="Times New Roman"/>
                <w:color w:val="000000"/>
                <w:sz w:val="20"/>
              </w:rPr>
              <w:t> </w:t>
            </w:r>
            <w:r>
              <w:rPr>
                <w:rFonts w:ascii="Times New Roman" w:hAnsi="Times New Roman"/>
                <w:b/>
                <w:color w:val="000000"/>
                <w:sz w:val="16"/>
              </w:rPr>
              <w:t>Capital Market</w:t>
            </w:r>
          </w:p>
        </w:tc>
      </w:tr>
    </w:tbl>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530" w:type="dxa"/>
        <w:jc w:val="left"/>
        <w:tblInd w:w="0" w:type="dxa"/>
        <w:tblLayout w:type="fixed"/>
        <w:tblCellMar>
          <w:top w:w="28" w:type="dxa"/>
          <w:left w:w="28" w:type="dxa"/>
          <w:bottom w:w="28" w:type="dxa"/>
          <w:right w:w="28" w:type="dxa"/>
        </w:tblCellMar>
      </w:tblPr>
      <w:tblGrid>
        <w:gridCol w:w="1666"/>
        <w:gridCol w:w="316"/>
        <w:gridCol w:w="146"/>
        <w:gridCol w:w="2041"/>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spacing w:before="80" w:after="283"/>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August 3, 2026, the registrant had 9,361,490</w:t>
      </w:r>
      <w:r>
        <w:rPr>
          <w:rFonts w:ascii="Times New Roman" w:hAnsi="Times New Roman"/>
          <w:color w:val="000000"/>
          <w:sz w:val="20"/>
        </w:rPr>
        <w:t xml:space="preserve"> </w:t>
      </w:r>
      <w:r>
        <w:rPr>
          <w:rFonts w:ascii="Times New Roman" w:hAnsi="Times New Roman"/>
          <w:color w:val="000000"/>
          <w:sz w:val="18"/>
        </w:rPr>
        <w:t>shares of common stock, $0.0001 par value per share, outstanding.</w:t>
      </w:r>
    </w:p>
    <w:p>
      <w:pPr>
        <w:pStyle w:val="TextBody"/>
        <w:pBdr>
          <w:bottom w:val="double" w:sz="4" w:space="1" w:color="000000"/>
        </w:pBdr>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32"/>
        <w:gridCol w:w="8861"/>
        <w:gridCol w:w="512"/>
      </w:tblGrid>
      <w:tr>
        <w:trPr/>
        <w:tc>
          <w:tcPr>
            <w:tcW w:w="832" w:type="dxa"/>
            <w:tcBorders/>
            <w:vAlign w:val="center"/>
          </w:tcPr>
          <w:p>
            <w:pPr>
              <w:pStyle w:val="TableContents"/>
              <w:bidi w:val="0"/>
              <w:spacing w:before="0" w:after="283"/>
              <w:jc w:val="left"/>
              <w:rPr>
                <w:sz w:val="4"/>
                <w:szCs w:val="4"/>
              </w:rPr>
            </w:pPr>
            <w:r>
              <w:rPr>
                <w:sz w:val="4"/>
                <w:szCs w:val="4"/>
              </w:rPr>
            </w:r>
          </w:p>
        </w:tc>
        <w:tc>
          <w:tcPr>
            <w:tcW w:w="886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3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pecial_note_regarding_forwardlooking_st">
              <w:r>
                <w:rPr>
                  <w:rStyle w:val="InternetLink"/>
                  <w:rFonts w:ascii="Times New Roman" w:hAnsi="Times New Roman"/>
                  <w:b/>
                  <w:color w:val="0563C1"/>
                  <w:sz w:val="18"/>
                  <w:u w:val="single"/>
                </w:rPr>
                <w:t>SPECIAL NOTE REGARDING FORWARD-LOOKING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r>
      <w:tr>
        <w:trPr/>
        <w:tc>
          <w:tcPr>
            <w:tcW w:w="8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PART I.</w:t>
            </w:r>
          </w:p>
        </w:tc>
        <w:tc>
          <w:tcPr>
            <w:tcW w:w="88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b/>
                  <w:color w:val="0563C1"/>
                  <w:sz w:val="18"/>
                  <w:u w:val="single"/>
                </w:rPr>
                <w:t>FINANCIAL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r>
      <w:tr>
        <w:trPr/>
        <w:tc>
          <w:tcPr>
            <w:tcW w:w="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1.</w:t>
            </w:r>
          </w:p>
        </w:tc>
        <w:tc>
          <w:tcPr>
            <w:tcW w:w="88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condensed_consolidated_financial_">
              <w:r>
                <w:rPr>
                  <w:rStyle w:val="InternetLink"/>
                  <w:rFonts w:ascii="Times New Roman" w:hAnsi="Times New Roman"/>
                  <w:color w:val="0563C1"/>
                  <w:sz w:val="18"/>
                  <w:u w:val="single"/>
                </w:rPr>
                <w:t>Consolidated Financial Statements (Unaudited)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18"/>
              </w:rPr>
            </w:pPr>
            <w:r>
              <w:rPr>
                <w:rFonts w:ascii="Times New Roman" w:hAnsi="Times New Roman"/>
                <w:color w:val="000000"/>
                <w:sz w:val="18"/>
              </w:rPr>
              <w:t>5</w:t>
            </w:r>
          </w:p>
        </w:tc>
      </w:tr>
      <w:tr>
        <w:trPr/>
        <w:tc>
          <w:tcPr>
            <w:tcW w:w="83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563C1"/>
                  <w:sz w:val="18"/>
                  <w:u w:val="single"/>
                </w:rPr>
                <w:t>Consolidated Balance Sheets as of June 30, 2026 and December 31,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18"/>
              </w:rPr>
            </w:pPr>
            <w:r>
              <w:rPr>
                <w:rFonts w:ascii="Times New Roman" w:hAnsi="Times New Roman"/>
                <w:color w:val="000000"/>
                <w:sz w:val="18"/>
              </w:rPr>
              <w:t>5</w:t>
            </w:r>
          </w:p>
        </w:tc>
      </w:tr>
      <w:tr>
        <w:trPr/>
        <w:tc>
          <w:tcPr>
            <w:tcW w:w="83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operat">
              <w:r>
                <w:rPr>
                  <w:rStyle w:val="InternetLink"/>
                  <w:rFonts w:ascii="Times New Roman" w:hAnsi="Times New Roman"/>
                  <w:color w:val="0563C1"/>
                  <w:sz w:val="18"/>
                  <w:u w:val="single"/>
                </w:rPr>
                <w:t>Consolidated Statements of Operations and Comprehensive Loss for the Three Months and Six Months ended June 30,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18"/>
              </w:rPr>
            </w:pPr>
            <w:r>
              <w:rPr>
                <w:rFonts w:ascii="Times New Roman" w:hAnsi="Times New Roman"/>
                <w:color w:val="000000"/>
                <w:sz w:val="18"/>
              </w:rPr>
              <w:t>6</w:t>
            </w:r>
          </w:p>
        </w:tc>
      </w:tr>
      <w:tr>
        <w:trPr/>
        <w:tc>
          <w:tcPr>
            <w:tcW w:w="83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redeemable_conve">
              <w:r>
                <w:rPr>
                  <w:rStyle w:val="InternetLink"/>
                  <w:rFonts w:ascii="Times New Roman" w:hAnsi="Times New Roman"/>
                  <w:color w:val="0563C1"/>
                  <w:sz w:val="18"/>
                  <w:u w:val="single"/>
                </w:rPr>
                <w:t>Consolidated Statements of Stockholders’ Equity for the Three and Six Months ended June 30,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18"/>
              </w:rPr>
            </w:pPr>
            <w:r>
              <w:rPr>
                <w:rFonts w:ascii="Times New Roman" w:hAnsi="Times New Roman"/>
                <w:color w:val="000000"/>
                <w:sz w:val="18"/>
              </w:rPr>
              <w:t>7</w:t>
            </w:r>
          </w:p>
        </w:tc>
      </w:tr>
      <w:tr>
        <w:trPr/>
        <w:tc>
          <w:tcPr>
            <w:tcW w:w="83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Times New Roman" w:hAnsi="Times New Roman"/>
                  <w:color w:val="0563C1"/>
                  <w:sz w:val="18"/>
                  <w:u w:val="single"/>
                </w:rPr>
                <w:t>Consolidated Statements of Cash Flows for the Six Months ended June 30,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18"/>
              </w:rPr>
            </w:pPr>
            <w:r>
              <w:rPr>
                <w:rFonts w:ascii="Times New Roman" w:hAnsi="Times New Roman"/>
                <w:color w:val="000000"/>
                <w:sz w:val="18"/>
              </w:rPr>
              <w:t>9</w:t>
            </w:r>
          </w:p>
        </w:tc>
      </w:tr>
      <w:tr>
        <w:trPr/>
        <w:tc>
          <w:tcPr>
            <w:tcW w:w="83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interim_condensed_consolidated_">
              <w:r>
                <w:rPr>
                  <w:rStyle w:val="InternetLink"/>
                  <w:rFonts w:ascii="Times New Roman" w:hAnsi="Times New Roman"/>
                  <w:color w:val="0563C1"/>
                  <w:sz w:val="18"/>
                  <w:u w:val="single"/>
                </w:rPr>
                <w:t>Notes to Unaudited Consolidated Financial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r>
      <w:tr>
        <w:trPr/>
        <w:tc>
          <w:tcPr>
            <w:tcW w:w="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2.</w:t>
            </w:r>
          </w:p>
        </w:tc>
        <w:tc>
          <w:tcPr>
            <w:tcW w:w="88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563C1"/>
                  <w:sz w:val="18"/>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r>
      <w:tr>
        <w:trPr/>
        <w:tc>
          <w:tcPr>
            <w:tcW w:w="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3.</w:t>
            </w:r>
          </w:p>
        </w:tc>
        <w:tc>
          <w:tcPr>
            <w:tcW w:w="88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563C1"/>
                  <w:sz w:val="18"/>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r>
      <w:tr>
        <w:trPr/>
        <w:tc>
          <w:tcPr>
            <w:tcW w:w="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4.</w:t>
            </w:r>
          </w:p>
        </w:tc>
        <w:tc>
          <w:tcPr>
            <w:tcW w:w="88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563C1"/>
                  <w:sz w:val="18"/>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r>
      <w:tr>
        <w:trPr/>
        <w:tc>
          <w:tcPr>
            <w:tcW w:w="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PART II.</w:t>
            </w:r>
          </w:p>
        </w:tc>
        <w:tc>
          <w:tcPr>
            <w:tcW w:w="88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b/>
                  <w:color w:val="0563C1"/>
                  <w:sz w:val="18"/>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r>
      <w:tr>
        <w:trPr/>
        <w:tc>
          <w:tcPr>
            <w:tcW w:w="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1.</w:t>
            </w:r>
          </w:p>
        </w:tc>
        <w:tc>
          <w:tcPr>
            <w:tcW w:w="88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563C1"/>
                  <w:sz w:val="18"/>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r>
      <w:tr>
        <w:trPr/>
        <w:tc>
          <w:tcPr>
            <w:tcW w:w="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1A.</w:t>
            </w:r>
          </w:p>
        </w:tc>
        <w:tc>
          <w:tcPr>
            <w:tcW w:w="88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563C1"/>
                  <w:sz w:val="18"/>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r>
      <w:tr>
        <w:trPr/>
        <w:tc>
          <w:tcPr>
            <w:tcW w:w="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2.</w:t>
            </w:r>
          </w:p>
        </w:tc>
        <w:tc>
          <w:tcPr>
            <w:tcW w:w="88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563C1"/>
                  <w:sz w:val="18"/>
                  <w:u w:val="single"/>
                </w:rPr>
                <w:t>Unregistered Sales of Equity Securities and Use of Proceeds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w:t>
            </w:r>
          </w:p>
        </w:tc>
      </w:tr>
      <w:tr>
        <w:trPr/>
        <w:tc>
          <w:tcPr>
            <w:tcW w:w="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3.</w:t>
            </w:r>
          </w:p>
        </w:tc>
        <w:tc>
          <w:tcPr>
            <w:tcW w:w="88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563C1"/>
                  <w:sz w:val="18"/>
                  <w:u w:val="single"/>
                </w:rPr>
                <w:t>Defaults Upon Senior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w:t>
            </w:r>
          </w:p>
        </w:tc>
      </w:tr>
      <w:tr>
        <w:trPr/>
        <w:tc>
          <w:tcPr>
            <w:tcW w:w="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4.</w:t>
            </w:r>
          </w:p>
        </w:tc>
        <w:tc>
          <w:tcPr>
            <w:tcW w:w="88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563C1"/>
                  <w:sz w:val="18"/>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w:t>
            </w:r>
          </w:p>
        </w:tc>
      </w:tr>
      <w:tr>
        <w:trPr/>
        <w:tc>
          <w:tcPr>
            <w:tcW w:w="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5.</w:t>
            </w:r>
          </w:p>
        </w:tc>
        <w:tc>
          <w:tcPr>
            <w:tcW w:w="88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563C1"/>
                  <w:sz w:val="18"/>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w:t>
            </w:r>
          </w:p>
        </w:tc>
      </w:tr>
      <w:tr>
        <w:trPr/>
        <w:tc>
          <w:tcPr>
            <w:tcW w:w="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6.</w:t>
            </w:r>
          </w:p>
        </w:tc>
        <w:tc>
          <w:tcPr>
            <w:tcW w:w="88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563C1"/>
                  <w:sz w:val="18"/>
                  <w:u w:val="single"/>
                </w:rPr>
                <w:t>Exhibits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563C1"/>
                  <w:sz w:val="18"/>
                  <w:u w:val="single"/>
                </w:rPr>
                <w:t>Signatures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Summary of the Material Risks Associated with Our Business</w:t>
      </w:r>
    </w:p>
    <w:p>
      <w:pPr>
        <w:pStyle w:val="TextBody"/>
        <w:bidi w:val="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limited operating history and face significant challenges and expenses as we build our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highly dependent on the success of prula-cel (formerly ADI-001). If we are unable to obtain regulatory approval for prula-cel in one or more indications and effectively commercialize this product candidate for the treatment of patients in indications for which we receive approval (if any), our business would be significantly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gamma delta T cell candidates represent a novel approach to the treatment of autoimmune diseases and cancer indications that creates significant challenges for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are based on novel technologies, which makes it difficult to predict the likely success of such product candidates and the time and cost of product candidate development and obtaining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clinical trials may fail to demonstrate the safety and efficacy of any of our product candidates, which would prevent or delay regulatory approval and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able to file Investigational New Drug (IND) applications, or comparable regulatory submissions, to commence additional clinical trials on the timelines we expect, and even if we are able to, the U.S. Food and Drug Administration (FDA) or analogous regulatory authorities may not permit us to proceed.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encounter substantial delays in our clinical trials, or may not be able to conduct our trials on the timelines we expect.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opportunities for our product candidates may be limited to those patients who are ineligible for or have failed prior treatments and may be small.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realize the anticipated benefits of our workforce reduction and strategic pipeline prioritization.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we have commenced manufacturing operations at our manufacturing facility, we currently depend on the ability of our third-party suppliers and manufacturers with whom we contract to perform adequately, particularly with respect to the timely production and delivery of our product candidates, including prula-cel. This reliance on third parties increases the risk that we will not have sufficient quantities of our product candidates or products or such quantities at an acceptable cost, which could delay, prevent or impair our development or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highly dependent on our key personnel, and if we are not successful in attracting and retaining highly qualified personnel, we may not be able to successfully implement our business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substantial additional financing to develop our product candidates and implement our operating plans. If we fail to obtain additional financing, we may be unable to complete the development and commercialization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pharmaceutical industry in China is highly regulated and such regulations, including the Foreign Investment Law and the “negative list,” are subject to change which may affect development, approval and commercialization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uncertainties in the People’s Republic of China’s legal system regarding the Foreign Investment Law may subject our contractual arrangements to different interpretations or enforcement challenges, subject us to severe penalties or force us to relinquish our interests in our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Business disruptions, including armed conflicts, could substantially delay our clinical trials or seriously harm our future revenue and financial condition and increase our costs and expenses.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variety of risks associated with conducting research and clinical trials abroad and marketing our product candidates internationally could materially adversely affect our business, including the potential impact of global conflicts on our supply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 the past failed and may in the future fail to achieve and maintain effective internal control over financial reporting, which could harm our business and negatively impact the value of our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collaboration with Regeneron Pharmaceuticals, Inc. (Regeneron) is terminated, or if Regeneron materially breaches its obligations thereunder, our business, prospects, operating results, and financial condition would be materially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existing and future collaborations will be important to our business. If we are unable to maintain any of these collaborations, or if these collaborations are not successful, our business could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regulatory approval process is lengthy and time-consuming, and we may experience significant delays in the clinical development and regulatory approval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efforts to protect the proprietary nature of the intellectual property related to our technologies are not adequate, we may not be able to compete effectively in our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depend on intellectual property licensed from third parties and termination of any of these licenses could result in the loss of significant rights, which would harm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price of our common stock is highly volatile, which could result in substantial losses for purchasers of our common stock. Securities class action or other litigation involving our company or members of our management team could also substantially harm our business,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Unstable market and economic conditions may have serious adverse consequences on our business, financial condition and stock price.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sz w:val="20"/>
        </w:rPr>
      </w:pPr>
      <w:bookmarkStart w:id="2" w:name="special_note_regarding_forwardlooking_st"/>
      <w:bookmarkEnd w:id="2"/>
      <w:r>
        <w:rPr>
          <w:rFonts w:ascii="Times New Roman" w:hAnsi="Times New Roman"/>
          <w:b/>
          <w:color w:val="000000"/>
          <w:sz w:val="20"/>
        </w:rPr>
        <w:t>SPECIAL NOTE REGARDING FORWARD-LOOKING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Quarterly Report on Form 10-Q contains forward-looking statements that involve substantial risks and uncertainties. All statements, other than statements of historical facts, contained in this Quarterly Report on Form 10-Q, including statements regarding our strategy, future operations, future financial position, future revenue, projected costs, prospects, plans and objectives of management and expected market growth are forward-looking statements. The words “anticipate,” “believe,” “continue,” “could,” “estimate,” “expect,” “intend,” “may,” “plan,” “potential,” “predict,” “project,” “should,” “target,” “would” and similar expressions are intended to identify forward-looking statements, although not all forward-looking statements contain these identifying words.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forward-looking statements include, among other things, statements about: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and our ability to execute our clinical trials for prula-cel in autoimmune indications, including the ability to successfully complete our Phase 1 clinical trial in lupus nephritis (LN) and initiate Phase 1 clinical trials in lupus erythematosus (SLE), systemic sclerosis (SSc), anti-neutrophil cytoplasmic autoantibody associated vasculitis (AAV), idiopathic inflammatory myopathy (IIM), stiff person syndrome (SPS) and rheumatoid arthritis (RA);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costs and effects of our workforce reduction and strategic pipeline prioritization;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preclinical development of ADI-212, and our ability to develop other product candidates in our research pipeline;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prula-cel, including site activation and enrollment for and the availability, timing and announcement of data from our Phase 1 clinical trials for prula-cel and timing and plans for a potential Phase 2 pivotal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discussions with the U.S. Food and Drug Administration (FDA) and the European Medicines Agency (EMA) of a potential path to support Biologics License Applications (BLA) and Marketing Authorization Applications (MAA)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anticipated timing of our submission of Investigational New Drug (IND) applications or equivalent regulatory filings and initiation of future clinical trials, including the timing of the anticipated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impact of unstable market and economic conditions, including impacts of inflation, tariffs and adverse developments affecting the financial services industry, on our business, results of operations or financial conditions;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and our ability to obtain and maintain regulatory approvals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 and degree of acceptance and clinical utility of any products for which we receive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manufacturing of our product candidates and any products for which we receive regulatory approval by us or by our third-party suppliers;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commercialization, marketing and manufacturing capabilities and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intellectual property position and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identify additional product candidates with significant commercial potential;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to enter into collaborations for the development and commercialization of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benefits of any current and future collaboration;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and development activities outside of the United States, including in China, and related contractual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contract with third-party suppliers and manufacturers and their ability to perform adequately;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competing therapies that are or may become available;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relating to our competitors and our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retain the continued service of our key professionals and to identify, hire, and retain additional qualified professionals;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related to the use of cash, cash equivalents and short-term investments in treasury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regarding expenses, future revenue, capital requirements and needs for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effective internal control over financial reporting;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government laws and regulations;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risks and uncertainties, including those listed under the caption “Risk Factors.”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particularly in the “Risk Factors” section, that could cause actual results or events to differ materially from the forward-looking statements that we make. Our forward-looking statements do not reflect the potential impact of any future acquisitions, mergers, dispositions, collaborations, joint ventures or investments that we may make or enter into.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should read this Quarterly Report on Form 10-Q and the documents that we reference herein and have filed or incorporated by reference as exhibits hereto completely and with the understanding that our actual future results may be materially different from what we expect. We do not assume any obligation to update any forward-looking statements, whether as a result of new information, future events or otherwise, except as required by law.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Quarterly Report on Form 10-Q includes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 We are responsible for all of the disclosure contained in this Quarterly Report on Form 10-Q, and we believe these industry publications and third-party research, surveys and studies are reliable.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part_ifinancial_information"/>
      <w:bookmarkEnd w:id="3"/>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4" w:name="item_1_condensed_consolidated_financial_"/>
      <w:bookmarkEnd w:id="4"/>
      <w:r>
        <w:rPr>
          <w:rFonts w:ascii="Times New Roman" w:hAnsi="Times New Roman"/>
          <w:b/>
          <w:color w:val="000000"/>
          <w:sz w:val="20"/>
        </w:rPr>
        <w:t>Item 1. Consolidated Financial Statements (Unaudited).</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ADICET BIO, INC.</w:t>
      </w:r>
    </w:p>
    <w:p>
      <w:pPr>
        <w:pStyle w:val="TextBody"/>
        <w:bidi w:val="0"/>
        <w:jc w:val="center"/>
        <w:rPr>
          <w:rFonts w:ascii="Times New Roman" w:hAnsi="Times New Roman"/>
          <w:b/>
          <w:color w:val="000000"/>
          <w:sz w:val="20"/>
        </w:rPr>
      </w:pPr>
      <w:bookmarkStart w:id="5" w:name="condensed_consolidated_balance_sheets"/>
      <w:bookmarkEnd w:id="5"/>
      <w:r>
        <w:rPr>
          <w:rFonts w:ascii="Times New Roman" w:hAnsi="Times New Roman"/>
          <w:b/>
          <w:color w:val="000000"/>
          <w:sz w:val="20"/>
        </w:rP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09"/>
        <w:gridCol w:w="146"/>
        <w:gridCol w:w="196"/>
        <w:gridCol w:w="751"/>
        <w:gridCol w:w="166"/>
        <w:gridCol w:w="146"/>
        <w:gridCol w:w="206"/>
        <w:gridCol w:w="792"/>
        <w:gridCol w:w="693"/>
      </w:tblGrid>
      <w:tr>
        <w:trPr/>
        <w:tc>
          <w:tcPr>
            <w:tcW w:w="7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71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38,918</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Short-term investments in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85,059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119,612</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2,396</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10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Times New Roman" w:hAnsi="Times New Roman"/>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120,763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160,926</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2,872</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16,532</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10,927</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Finance lease 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1,022</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10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Times New Roman" w:hAnsi="Times New Roman"/>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148,166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192,355</w:t>
            </w:r>
          </w:p>
        </w:tc>
        <w:tc>
          <w:tcPr>
            <w:tcW w:w="6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4,739</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13,606</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2,837</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Finance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7109"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21,531</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liability,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10,910</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Finance lease liability,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7109"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33,145</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(Note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Preferred stock, $0.0001</w:t>
            </w:r>
            <w:r>
              <w:rPr>
                <w:rFonts w:ascii="Times New Roman" w:hAnsi="Times New Roman"/>
                <w:color w:val="000000"/>
                <w:sz w:val="20"/>
              </w:rPr>
              <w:t> </w:t>
            </w:r>
            <w:r>
              <w:rPr>
                <w:rFonts w:ascii="Times New Roman" w:hAnsi="Times New Roman"/>
                <w:color w:val="000000"/>
                <w:sz w:val="18"/>
              </w:rPr>
              <w:t>par value, 10,000,000</w:t>
            </w:r>
            <w:r>
              <w:rPr>
                <w:rFonts w:ascii="Times New Roman" w:hAnsi="Times New Roman"/>
                <w:color w:val="000000"/>
                <w:sz w:val="20"/>
              </w:rPr>
              <w:t> </w:t>
            </w:r>
            <w:r>
              <w:rPr>
                <w:rFonts w:ascii="Times New Roman" w:hAnsi="Times New Roman"/>
                <w:color w:val="000000"/>
                <w:sz w:val="18"/>
              </w:rPr>
              <w:t>shares authorized as of June 30, 2026 and December 31, 2025, respectively; none</w:t>
            </w:r>
            <w:r>
              <w:rPr>
                <w:rFonts w:ascii="Times New Roman" w:hAnsi="Times New Roman"/>
                <w:color w:val="000000"/>
                <w:sz w:val="20"/>
              </w:rPr>
              <w:t> </w:t>
            </w:r>
            <w:r>
              <w:rPr>
                <w:rFonts w:ascii="Times New Roman" w:hAnsi="Times New Roman"/>
                <w:color w:val="000000"/>
                <w:sz w:val="18"/>
              </w:rPr>
              <w:t>issued and outstanding 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Common stock, $0.0001</w:t>
            </w:r>
            <w:r>
              <w:rPr>
                <w:rFonts w:ascii="Times New Roman" w:hAnsi="Times New Roman"/>
                <w:color w:val="000000"/>
                <w:sz w:val="20"/>
              </w:rPr>
              <w:t> </w:t>
            </w:r>
            <w:r>
              <w:rPr>
                <w:rFonts w:ascii="Times New Roman" w:hAnsi="Times New Roman"/>
                <w:color w:val="000000"/>
                <w:sz w:val="18"/>
              </w:rPr>
              <w:t>par value, 300,000,000</w:t>
            </w:r>
            <w:r>
              <w:rPr>
                <w:rFonts w:ascii="Times New Roman" w:hAnsi="Times New Roman"/>
                <w:color w:val="000000"/>
                <w:sz w:val="20"/>
              </w:rPr>
              <w:t> </w:t>
            </w:r>
            <w:r>
              <w:rPr>
                <w:rFonts w:ascii="Times New Roman" w:hAnsi="Times New Roman"/>
                <w:color w:val="000000"/>
                <w:sz w:val="18"/>
              </w:rPr>
              <w:t>shares authorized as of June 30, 2026 and December 31, 2025, respectively; 9,361,371</w:t>
            </w:r>
            <w:r>
              <w:rPr>
                <w:rFonts w:ascii="Times New Roman" w:hAnsi="Times New Roman"/>
                <w:color w:val="000000"/>
                <w:sz w:val="20"/>
              </w:rPr>
              <w:t> </w:t>
            </w:r>
            <w:r>
              <w:rPr>
                <w:rFonts w:ascii="Times New Roman" w:hAnsi="Times New Roman"/>
                <w:color w:val="000000"/>
                <w:sz w:val="18"/>
              </w:rPr>
              <w:t>and 9,586,770</w:t>
            </w:r>
            <w:r>
              <w:rPr>
                <w:rFonts w:ascii="Times New Roman" w:hAnsi="Times New Roman"/>
                <w:color w:val="000000"/>
                <w:sz w:val="20"/>
              </w:rPr>
              <w:t> </w:t>
            </w:r>
            <w:r>
              <w:rPr>
                <w:rFonts w:ascii="Times New Roman" w:hAnsi="Times New Roman"/>
                <w:color w:val="000000"/>
                <w:sz w:val="18"/>
              </w:rPr>
              <w:t>shares issued and outstanding 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776,541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773,795</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(656,299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(614,697</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1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7109"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120,138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159,210</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7109"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148,166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192,355</w:t>
            </w:r>
          </w:p>
        </w:tc>
        <w:tc>
          <w:tcPr>
            <w:tcW w:w="6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ADICET BIO, INC.</w:t>
      </w:r>
    </w:p>
    <w:p>
      <w:pPr>
        <w:pStyle w:val="TextBody"/>
        <w:bidi w:val="0"/>
        <w:jc w:val="center"/>
        <w:rPr>
          <w:rFonts w:ascii="Times New Roman" w:hAnsi="Times New Roman"/>
          <w:b/>
          <w:color w:val="000000"/>
          <w:sz w:val="20"/>
        </w:rPr>
      </w:pPr>
      <w:bookmarkStart w:id="6" w:name="condensed_consolidated_statements_operat"/>
      <w:bookmarkEnd w:id="6"/>
      <w:r>
        <w:rPr>
          <w:rFonts w:ascii="Times New Roman" w:hAnsi="Times New Roman"/>
          <w:b/>
          <w:color w:val="000000"/>
          <w:sz w:val="20"/>
        </w:rPr>
        <w:t>Consolidated Statements of Operations and Comprehensive Loss</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64"/>
        <w:gridCol w:w="146"/>
        <w:gridCol w:w="196"/>
        <w:gridCol w:w="916"/>
        <w:gridCol w:w="166"/>
        <w:gridCol w:w="146"/>
        <w:gridCol w:w="196"/>
        <w:gridCol w:w="826"/>
        <w:gridCol w:w="166"/>
        <w:gridCol w:w="146"/>
        <w:gridCol w:w="196"/>
        <w:gridCol w:w="916"/>
        <w:gridCol w:w="166"/>
        <w:gridCol w:w="146"/>
        <w:gridCol w:w="196"/>
        <w:gridCol w:w="826"/>
        <w:gridCol w:w="391"/>
      </w:tblGrid>
      <w:tr>
        <w:trPr/>
        <w:tc>
          <w:tcPr>
            <w:tcW w:w="44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51,238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11,039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62,277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(62,277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before 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(59,431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(59,431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Weighted-average common shares used in computing 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10,745,553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5,692,816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10,748,058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5,713,182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Unrealized loss on treasury securities,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(59,488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ADICET BIO, INC.</w:t>
      </w:r>
    </w:p>
    <w:p>
      <w:pPr>
        <w:pStyle w:val="TextBody"/>
        <w:bidi w:val="0"/>
        <w:jc w:val="center"/>
        <w:rPr>
          <w:rFonts w:ascii="Times New Roman" w:hAnsi="Times New Roman"/>
          <w:sz w:val="20"/>
        </w:rPr>
      </w:pPr>
      <w:bookmarkStart w:id="7" w:name="consolidated_statements_redeemable_conve"/>
      <w:bookmarkEnd w:id="7"/>
      <w:r>
        <w:rPr>
          <w:rFonts w:ascii="Times New Roman" w:hAnsi="Times New Roman"/>
          <w:b/>
          <w:color w:val="000000"/>
          <w:sz w:val="20"/>
        </w:rPr>
        <w:t>Consolidated Statements of Stockholders’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amounts)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42"/>
        <w:gridCol w:w="146"/>
        <w:gridCol w:w="146"/>
        <w:gridCol w:w="826"/>
        <w:gridCol w:w="166"/>
        <w:gridCol w:w="146"/>
        <w:gridCol w:w="228"/>
        <w:gridCol w:w="403"/>
        <w:gridCol w:w="166"/>
        <w:gridCol w:w="146"/>
        <w:gridCol w:w="196"/>
        <w:gridCol w:w="691"/>
        <w:gridCol w:w="166"/>
        <w:gridCol w:w="146"/>
        <w:gridCol w:w="196"/>
        <w:gridCol w:w="751"/>
        <w:gridCol w:w="166"/>
        <w:gridCol w:w="146"/>
        <w:gridCol w:w="448"/>
        <w:gridCol w:w="1002"/>
        <w:gridCol w:w="166"/>
        <w:gridCol w:w="146"/>
        <w:gridCol w:w="211"/>
        <w:gridCol w:w="746"/>
        <w:gridCol w:w="213"/>
      </w:tblGrid>
      <w:tr>
        <w:trPr/>
        <w:tc>
          <w:tcPr>
            <w:tcW w:w="2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4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 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b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9,586,770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773,795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(614,697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159,210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Immaterial correction from par to 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upon vesting of 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Shares withheld for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(20,244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9,597,693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775,042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(634,941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140,065</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upon vesting of 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Shares withheld for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Exchange of common stock for pre-funded warrant, net of issuance costs of $22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 of common stock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(21,358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9,361,371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776,541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(656,299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120,138</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ADICET BIO, INC.</w:t>
      </w:r>
    </w:p>
    <w:p>
      <w:pPr>
        <w:pStyle w:val="TextBody"/>
        <w:bidi w:val="0"/>
        <w:jc w:val="center"/>
        <w:rPr>
          <w:rFonts w:ascii="Times New Roman" w:hAnsi="Times New Roman"/>
          <w:sz w:val="20"/>
        </w:rPr>
      </w:pPr>
      <w:r>
        <w:rPr>
          <w:rFonts w:ascii="Times New Roman" w:hAnsi="Times New Roman"/>
          <w:b/>
          <w:color w:val="000000"/>
          <w:sz w:val="20"/>
        </w:rPr>
        <w:t>Consolidated Statements of Stockholders’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amounts)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377"/>
        <w:gridCol w:w="146"/>
        <w:gridCol w:w="146"/>
        <w:gridCol w:w="826"/>
        <w:gridCol w:w="166"/>
        <w:gridCol w:w="146"/>
        <w:gridCol w:w="228"/>
        <w:gridCol w:w="403"/>
        <w:gridCol w:w="146"/>
        <w:gridCol w:w="146"/>
        <w:gridCol w:w="196"/>
        <w:gridCol w:w="691"/>
        <w:gridCol w:w="166"/>
        <w:gridCol w:w="146"/>
        <w:gridCol w:w="196"/>
        <w:gridCol w:w="751"/>
        <w:gridCol w:w="166"/>
        <w:gridCol w:w="146"/>
        <w:gridCol w:w="553"/>
        <w:gridCol w:w="979"/>
        <w:gridCol w:w="166"/>
        <w:gridCol w:w="146"/>
        <w:gridCol w:w="212"/>
        <w:gridCol w:w="748"/>
        <w:gridCol w:w="213"/>
      </w:tblGrid>
      <w:tr>
        <w:trPr/>
        <w:tc>
          <w:tcPr>
            <w:tcW w:w="23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3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 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b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5,160,545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684,482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(497,894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186,609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upon vesting of 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Shares withheld for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(28,214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5,169,327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687,558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(526,108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161,446</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upon vesting of 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 of common stock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(31,217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5,203,230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690,733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(557,325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133,372</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ADICET BIO, INC.</w:t>
      </w:r>
    </w:p>
    <w:p>
      <w:pPr>
        <w:pStyle w:val="TextBody"/>
        <w:bidi w:val="0"/>
        <w:jc w:val="center"/>
        <w:rPr>
          <w:rFonts w:ascii="Times New Roman" w:hAnsi="Times New Roman"/>
          <w:sz w:val="20"/>
        </w:rPr>
      </w:pPr>
      <w:bookmarkStart w:id="8" w:name="condensed_consolidated_statements_cash_f"/>
      <w:bookmarkEnd w:id="8"/>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8906" w:type="dxa"/>
        <w:jc w:val="left"/>
        <w:tblInd w:w="0" w:type="dxa"/>
        <w:tblLayout w:type="fixed"/>
        <w:tblCellMar>
          <w:top w:w="28" w:type="dxa"/>
          <w:left w:w="28" w:type="dxa"/>
          <w:bottom w:w="28" w:type="dxa"/>
          <w:right w:w="28" w:type="dxa"/>
        </w:tblCellMar>
      </w:tblPr>
      <w:tblGrid>
        <w:gridCol w:w="6481"/>
        <w:gridCol w:w="146"/>
        <w:gridCol w:w="200"/>
        <w:gridCol w:w="675"/>
        <w:gridCol w:w="169"/>
        <w:gridCol w:w="149"/>
        <w:gridCol w:w="200"/>
        <w:gridCol w:w="675"/>
        <w:gridCol w:w="211"/>
      </w:tblGrid>
      <w:tr>
        <w:trPr/>
        <w:tc>
          <w:tcPr>
            <w:tcW w:w="6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(41,602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1,498</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amortization of premiums and accretion of discounts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Amortization of deferred transaction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(1,136</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and other current and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(1,895</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(41,313</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short-term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(44,231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Maturities of short-term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80,000</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8F0FA"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8F0FA"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66,000</w:t>
            </w:r>
          </w:p>
        </w:tc>
        <w:tc>
          <w:tcPr>
            <w:tcW w:w="211" w:type="dxa"/>
            <w:tcBorders/>
            <w:shd w:fill="C8F0F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35,530</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30,092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Pre-funded warrant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Taxes withheld and paid related to net share settlement of 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change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(5,790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the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41,790</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59,398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the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36,000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Reconciliation of cash, cash equivalents and restricted cash to consolidated balance sheets: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33,131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2,869</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8F0FA"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8F0FA"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2,903</w:t>
            </w:r>
          </w:p>
        </w:tc>
        <w:tc>
          <w:tcPr>
            <w:tcW w:w="211" w:type="dxa"/>
            <w:tcBorders>
              <w:bottom w:val="single" w:sz="4" w:space="0" w:color="000000"/>
            </w:tcBorders>
            <w:shd w:fill="C8F0FA" w:val="clear"/>
            <w:tcMar>
              <w:top w:w="0" w:type="dxa"/>
              <w:left w:w="0" w:type="dxa"/>
              <w:right w:w="0" w:type="dxa"/>
            </w:tcMar>
            <w:vAlign w:val="center"/>
          </w:tcPr>
          <w:p>
            <w:pPr>
              <w:pStyle w:val="TableContents"/>
              <w:bidi w:val="0"/>
              <w:spacing w:before="0" w:after="283"/>
              <w:jc w:val="left"/>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in consolidated balance sheets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36,000</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37,623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disclosures of 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property and equipment included in 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Remeasurement of finance lease resulting in a reduction of ROU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ADICET BIO, INC.</w:t>
      </w:r>
    </w:p>
    <w:p>
      <w:pPr>
        <w:pStyle w:val="TextBody"/>
        <w:bidi w:val="0"/>
        <w:jc w:val="center"/>
        <w:rPr>
          <w:rFonts w:ascii="Times New Roman" w:hAnsi="Times New Roman"/>
          <w:b/>
          <w:color w:val="000000"/>
          <w:sz w:val="20"/>
        </w:rPr>
      </w:pPr>
      <w:bookmarkStart w:id="9" w:name="notes_to_interim_condensed_consolidated_"/>
      <w:bookmarkEnd w:id="9"/>
      <w:r>
        <w:rPr>
          <w:rFonts w:ascii="Times New Roman" w:hAnsi="Times New Roman"/>
          <w:b/>
          <w:color w:val="000000"/>
          <w:sz w:val="20"/>
        </w:rPr>
        <w:t>Notes to Interim Consolidated Financial Statements (Unaudited)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 Organization and Nature of the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Adicet Bio, Inc. (formerly resTORbio, Inc. (resTORbio), together with its subsidiaries, the Company) is a clinical stage biotechnology company discovering and developing allogeneic gamma delta T cell therapies for autoimmune diseases and cancer. The Company is advancing a pipeline of “off-the-shelf” gamma delta T cells, engineered with chimeric antigen receptors (CARs), to facilitate durable activity in patients.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Adicet Bio, Inc. (when referred to prior to the merger, Former Adicet) was incorporated in November 2014 in Delaware. On September 15, 2020, Former Adicet completed a merger (Merger) with resTORbio, pursuant to which Former Adicet merged with a wholly owned subsidiary of resTORbio in an all-stock transaction with Former Adicet surviving as a wholly owned subsidiary of resTORbio and changing its name to “Adicet Therapeutics, Inc.” (Adicet Therapeutics). In connection with the Merger, the Company changed its name from “resTORbio, Inc.” to “Adicet Bio, Inc.” The Company’s principal executive offices are located in Boston, Massachusetts. The Company also has offices in Redwood City, California.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Adicet Bio Israel Ltd. (formerly Applied Immune Technologies Ltd.) (Adicet Israel) is a wholly owned subsidiary of the Company and is located in Haifa, Israel. Adicet Israel was founded in 2006. During 2019, the Company consolidated its operations, including research and development activities, in the United States and as a result, substantially reduced its operations in Israel.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Adicet (Shanghai) Biotechnology Co., Ltd. (Adicet Shanghai) is a wholly owned subsidiary of Adicet Therapeutics and is located in Shanghai, China. Adicet Shanghai was founded in May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2024, the Company initiated research and development activities in China through a series of contractual agreements entered into and among Shanghai Adicet Biotechnology Co., Ltd. (Shanghai Adicet), a variable interest entity, Adicet Shanghai, and the shareholders of Shanghai Adicet. The Company was the primary beneficiary of Shanghai Adicet which was considered a consolidated entity under accounting principles generally accepted in the United States of America (U.S. GAAP). In July 2025, Adicet Therapeutics entered into an equity transfer agreement with the then-stockholders of Shanghai Adicet to acquire 100% equity interests of Shanghai Adicet from its then-stockholders (the Acquisition). In connection with the Acquisition, tax filings and registration were completed in August 2025. As of August 2025, upon completion of the registration, Shanghai Adicet is now a wholly owned subsidiary of Adicet Therapeutics and will continue to conduct research and development activities in China. The transaction did not have a material impact on the financial statements. The Company consolidates the financial results of this entity into its consolidated financial statements in accordance with U.S. GAAP.</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incurred significant net operating losses and negative cash flows from operations and has an accumulated deficit of $656.3 million as of June 30, 2026. The Company has historically financed its operations primarily through a collaboration and licensing arrangement, public and private placements of equity securities and debt, and cash received in the Merger with resTORbio. To date, none of the Company’s product candidates have been approved for sale and therefore the Company has not generated any revenue from product sales. Management expects operating losses and negative cash flows to continue for the foreseeable future, until such time, if ever, that it can generate significant sales of its product candidates currently in development.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March 12, 2021, the Company entered into a Capital On Demand Sales Agreement (the JonesTrading Sales Agreement) with JonesTrading Institutional Services LLC, as sales agent, to provide for the offering, issuance and sale of up to an aggregate amount of $75.0 million of shares of common stock from time to time in “at-the-market” (ATM) offerings. In August 2022, pursuant to the JonesTrading Sales Agreement and subject to the limitations thereof, the Company sold an aggregate of 163,233 shares of common stock of the Company, par value $0.0001 per share (common stock), at $275.68 per share resulting in net proceeds to the Company of $43.4 million after deducting sales agent commissions and expenses. In November 2022, the Company filed a new prospectus supplement to the 2021 Shelf Registration Statement for the offer and sale of up to $100.0 million of shares of common stock from time to time through the sales agent, which includes the $30.0 million of shares of common stock not sold under the original prospectus and up to an additional $70.0 million of shares of common stock (the JonesTrading ATM Program). In January 2024, the Company raised aggregate net proceeds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approximately $19.3 million through the JonesTrading ATM Program. In March 2024, the Company terminated the JonesTrading ATM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22, 2024, the Company entered into an Underwriting Agreement (the Underwriting Agreement) with Jefferies LLC (Jefferies) and Guggenheim Securities, LLC (Guggenheim), as representatives of the underwriters (the 2024 Underwriters), related to an underwritten public offering (the Offering) of 1,690,917 shares (the Shares) of common stock, and, in lieu of common stock to an investor, pre-funded warrants (the Pre-Funded Warrants) to purchase 527,833 shares of common stock (the Warrant Shares). The Shares were sold at a public offering price of $38.40 per share and the Pre-Funded Warrants were sold at a public offering price of $38.3984 per underlying share, which represents the per share public offering price of each share of common stock minus the $0.0016 per share exercise price for each pre-funded warrant. The purchase price paid by the 2024 Underwriters to the Company was $36.096 per Share and $36.0944 per Pre-Funded Warrant, representing a discount to the 2024 Underwriters of 6.0%. In addition, the Company granted the 2024 Underwriters an option exercisable for 30 days from the date of the Underwriting Agreement to purchase, at the public offering price less underwriting discounts and commissions, up to an additional 332,813 shares of common stock. On January 23, 2024, the 2024 Underwriters exercised this option in full. The Company received net proceeds from the Offering, after deducting the underwriting discount and commissions and other offering expenses, of approximately $91.7 million. The Company may receive nominal proceeds, if any, from the exercise of the Pre-Funded Warrants.</w:t>
      </w:r>
    </w:p>
    <w:p>
      <w:pPr>
        <w:pStyle w:val="TextBody"/>
        <w:bidi w:val="0"/>
        <w:spacing w:before="240" w:after="283"/>
        <w:jc w:val="both"/>
        <w:rPr>
          <w:rFonts w:ascii="Times New Roman" w:hAnsi="Times New Roman"/>
          <w:sz w:val="20"/>
        </w:rPr>
      </w:pPr>
      <w:r>
        <w:rPr>
          <w:rFonts w:ascii="Times New Roman" w:hAnsi="Times New Roman"/>
          <w:color w:val="000000"/>
          <w:sz w:val="20"/>
        </w:rPr>
        <w:t>In March 2024, the Company entered into an Open Market Sales Agreement</w:t>
      </w:r>
      <w:r>
        <w:rPr>
          <w:rFonts w:ascii="Times New Roman" w:hAnsi="Times New Roman"/>
          <w:color w:val="000000"/>
          <w:sz w:val="13"/>
        </w:rPr>
        <w:t>SM</w:t>
      </w:r>
      <w:r>
        <w:rPr>
          <w:rFonts w:ascii="Times New Roman" w:hAnsi="Times New Roman"/>
          <w:color w:val="000000"/>
          <w:sz w:val="20"/>
        </w:rPr>
        <w:t xml:space="preserve"> (the Jefferies Sales Agreement) with Jefferies to sell shares of its common stock from time to time, through an ATM equity offering program under which Jefferies will act as sales agent or principal. As of June 30, 2026, no shares of common stock have been sold under the Jefferies Sales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October 7, 2025, the Company entered into an Underwriting Agreement (the 2025 Underwriting Agreement) with Jefferies and Guggenheim, as representatives of the underwriters (the 2025 Underwriters), related to an underwritten registered direct offering (the 2025 Offering) of 4,375,062 shares (the 2025 Shares) of common stock, and, in lieu of common stock to an investor, pre-funded warrants (the 2025 Pre-Funded Warrants) to purchase 625,000 shares of common stock (the 2025 Warrant Shares). The 2025 Shares were sold at a price of $16.00 per share and the 2025 Pre-Funded Warrants were sold at a price of $15.9984 per underlying share, which represents the per share offering price of each share of common stock minus the $0.0016 per share exercise price for each pre-funded warrant. The purchase price paid by the 2025 Underwriters to the Company was $15.04 per 2025 Share and $15.03856 per 2025 Pre-Funded Warrant, representing a discount to the 2025 Underwriters of 6.0%. The Company received net proceeds from the 2025 Offering, after deducting the underwriting discount and commissions and other offering expenses, of approximately $74.8 million. The Company may receive nominal proceeds, if any, from the exercise of the 2025 Pre-Funded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expects that its cash, cash equivalents and short-term investments in treasury securities will be sufficient to fund its forecasted operating expenses and capital expenditure requirements for at least the next twelve months from the issuance of these unaudited interim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of the Company’s revenue to date has been generated from a collaboration and license agreement (the Regeneron Agreement) with Regeneron Pharmaceuticals, Inc, (Regeneron). The Company does not expect to generate any significant product revenue until it obtains regulatory approval of and commercializes any of the Company’s product candidates or enters into additional collaborative agreements with third parties, and it does not know when, or if, either will occur. The Company expects to continue to incur significant losses for the foreseeable future, and it expects the losses to increase as the Company continues the development of, and seeks regulatory approvals for, its product candidates and begins to commercialize any approved products. The Company is subject to all of the risks typically related to the development of new product candidates, including, but not limited to, raising additional capital, development by its competitors of new technological innovations, risk of failure in preclinical and clinical studies, safety and efficacy of its product candidates in clinical trials, the risk of relying on external parties such as contract research organizations (CROs) and contract development and manufacturing organizations (CDMOs), the regulatory approval process, market acceptance of the Company’s products once approved, lack of marketing and sales history, dependence on key personnel and protection of proprietary technology and it may encounter unforeseen expenses, difficulties, complications, delays, and other unknown factors that may adversely affect its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Until such time as the Company can generate significant revenue from product sales, if ever, the Company expects to finance its operations through the sale of equity, debt financings, collaborative or other arrangements with corporate or other sources of financing. Adequate funding may not be available to the Company on acceptable terms or at all. The Company’s failure to raise capital as and when needed could have a negative impact on its financial condition and the Company’s ability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pursue its business strategies. Although the Company continues to pursue these plans, there is no assurance that the Company will be successful in obtaining sufficient funding on terms acceptable to the Company to fund continuing operations, if at all. If unsuccessful in raising additional capital, the Company will be required to delay, reduce the scope of, or eliminate additional research and development programs, or take other cost cutting measures, or obtain funds by sale or license of other rights to our product candidates in certain territories or indications that we would prefer to develop and commercialize ourselves.</w:t>
      </w:r>
    </w:p>
    <w:p>
      <w:pPr>
        <w:pStyle w:val="TextBody"/>
        <w:bidi w:val="0"/>
        <w:spacing w:before="24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unaudited interim consolidated financial statements and related disclosures have been prepared in conformity with U.S. GAAP.</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Significant Accounting Policies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Company’s significant accounting policies are described in </w:t>
      </w:r>
      <w:r>
        <w:rPr>
          <w:rFonts w:ascii="Times New Roman" w:hAnsi="Times New Roman"/>
          <w:i/>
          <w:color w:val="000000"/>
          <w:sz w:val="20"/>
        </w:rPr>
        <w:t>Note 2, "Summary of Significant Accounting Policies,"</w:t>
      </w:r>
      <w:r>
        <w:rPr>
          <w:rFonts w:ascii="Times New Roman" w:hAnsi="Times New Roman"/>
          <w:color w:val="000000"/>
          <w:sz w:val="20"/>
        </w:rPr>
        <w:t xml:space="preserve"> to the consolidated financial statements included in the Company’s Annual Report on Form 10-K for the year ended December 31, 2025. There have been no material changes to the significant accounting policies during the six months ended June 30,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Unaudited Interim Financial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accompanying unaudited consolidated financial statements as of June 30, 2026, and for the three and six months ended June 30, 2026, have been prepared by the Company, pursuant to the rules and regulations of the SEC, for interim financial statements. Certain information and disclosures normally included in financial statements prepared in accordance with U.S. GAAP have been condensed or omitted pursuant to such rules and regulations. However, the Company believes that the disclosures are adequate to make the information presented not misleading. These unaudited consolidated financial statements should be read in conjunction with the Company’s audited consolidated financial statements and the notes thereto for the year ended December 31, 2025. In the opinion of management, all adjustments, consisting only of normal recurring adjustments necessary for a fair statement of the Company’s consolidated financial position as of June 30, 2026 and consolidated results of operations for the three and six months ended June 30, 2026 and 2025 and consolidated cash flows and stockholders' equity for the six months ended June 30, 2026 and 2025 have been made. The results of operations for the three and six months ended June 30, 2026 are not necessarily indicative of the results of operations that may be expected for the year ending December 31,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Concentration of Credit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Financial instruments, which potentially subject the Company to concentrations of credit risk, consist principally of cash, cash equivalents and short-term investments in treasury securities. The Company’s cash and cash equivalents, as well as its short-term investments in treasury securities, are held at two financial institutions in the U.S., one financial institution in China and one financial institution in Israel and such amounts may, at times, exceed insured limits. The Company invests its cash equivalents in treasury securities and money market funds. The Company limits its credit risk associated with cash equivalents and short-term investments in treasury securities by placing them with banks and institutions it believes are highly creditworthy and in highly rated investments. The Company has not experienced any losses on its deposits of cash and cash equivalents or its short-term investments in treasury securities to date.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Risks and Uncertainties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subject to risks and uncertainties common to early-stage companies in the biotechnology industry, including, but not limited to, development by competitors of new technological innovations, protection of proprietary technology, dependence on key personnel, compliance with government regulations and the need to obtain additional financing to fund operations. Product candidates currently under development will require significant additional research and development efforts, including extensive preclinical studies, clinical trials, and regulatory approval, prior to commercialization. These efforts require significant amounts of additional capital, adequate personnel infrastructure and extensive compliance and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product candidates are still in development and, to date, none of the Company’s product candidates have been approved for sale and, therefore, the Company has not generated any revenue from product sales.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revenue from product sales. The Company operates in an environment of rapid change in technology and substantial competition from other pharmaceutical and biotechnology companies.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From time to time, new accounting pronouncements are issued by the Financial Accounting Standards Board (FASB) or other standard setting bodies and adopted by the Company as of the specified effective date, unless otherwise discussed below.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Recently Adopted Accounting Pronouncements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September 2023, the FASB issued ASU No. 2023-09, Income Taxes (Topic 740): Improvements to Income Tax Disclosures, which enhances the transparency and usefulness of income tax disclosures. This amendment requires public issuers to disclose specific categories in the rate reconciliation and provide additional information for reconciling items that meet a quantitative threshold (if the effect of those reconciling items is equal to or greater than 5 percent of the amount computed by multiplying pretax income, or loss, by the applicable statutory income tax rate. Additionally, this amendment requires issuers to disclose the amount of income taxes paid (net of refunds received) disaggregated by federal (national), state, and foreign taxes as well as the amount of income taxes paid (net of refunds received) disaggregated by individual jurisdictions in which income taxes paid (net of refunds received) is equal to or greater than 5 percent of total income taxes paid (net of refunds received). For SEC filers, this ASU is effective for fiscal years beginning after December 15, 2024. Early adoption is permitted. The Company adopted ASU 2023-09 in the fourth quarter of 2025 on a prospective basis.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Accounting Pronouncements Not Yet Adopted</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 – Reporting Comprehensive Income – Expense Disaggregation Disclosures (Subtopic 220-40): Disaggregation of Income Statement Expenses (“ASU 2024-03”),</w:t>
      </w:r>
      <w:r>
        <w:rPr>
          <w:rFonts w:ascii="Times New Roman" w:hAnsi="Times New Roman"/>
          <w:color w:val="000000"/>
          <w:sz w:val="20"/>
        </w:rPr>
        <w:t xml:space="preserve"> which requires the disaggregation of certain expense captions into specified categories in disclosures within the notes to the consolidated financial statements to provide enhanced transparency into the expense captions presented on the face of the statements of income and comprehensive income. ASU 2024-03 is effective for annual reporting periods beginning after December 15, 2026, with early adoption permitted, and may be applied either prospectively or retrospectively to financial statements issued for reporting periods after the effective date of ASU 2024-03 or retrospectively to any or all prior periods presented in the financial statements. The Company is currently evaluating the impact that the adoption of ASU 2024-03 will have on its related disclosures.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 Fair Value Measurements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determines the fair value of financial and non-financial assets and liabilities using the fair value hierarchy which establishes three levels of inputs that may be used to measure fair value, as follows: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Level 1 — Observable inputs, such as quoted prices in active markets for identical assets or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Level 3 — Unobservable inputs which reflect management’s best estimate of what market participants would use in pricing the asset or liability at the measurement date. Consideration is given to the risk inherent in the valuation technique and the risk inherent in the inputs to the model.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tables present information about the Company’s financial assets and liabilities measured at fair value on a recurring basis and indicate the level of the fair value hierarchy utilized to determine such fair values (in thousands):</w:t>
      </w:r>
    </w:p>
    <w:p>
      <w:pPr>
        <w:pStyle w:val="TextBody"/>
        <w:bidi w:val="0"/>
        <w:jc w:val="left"/>
        <w:rPr/>
      </w:pPr>
      <w:r>
        <w:rPr/>
        <w:t> </w:t>
      </w:r>
    </w:p>
    <w:tbl>
      <w:tblPr>
        <w:tblW w:w="6763" w:type="dxa"/>
        <w:jc w:val="left"/>
        <w:tblInd w:w="0" w:type="dxa"/>
        <w:tblLayout w:type="fixed"/>
        <w:tblCellMar>
          <w:top w:w="28" w:type="dxa"/>
          <w:left w:w="28" w:type="dxa"/>
          <w:bottom w:w="28" w:type="dxa"/>
          <w:right w:w="28" w:type="dxa"/>
        </w:tblCellMar>
      </w:tblPr>
      <w:tblGrid>
        <w:gridCol w:w="2316"/>
        <w:gridCol w:w="146"/>
        <w:gridCol w:w="196"/>
        <w:gridCol w:w="691"/>
        <w:gridCol w:w="146"/>
        <w:gridCol w:w="146"/>
        <w:gridCol w:w="228"/>
        <w:gridCol w:w="402"/>
        <w:gridCol w:w="146"/>
        <w:gridCol w:w="146"/>
        <w:gridCol w:w="228"/>
        <w:gridCol w:w="402"/>
        <w:gridCol w:w="146"/>
        <w:gridCol w:w="146"/>
        <w:gridCol w:w="196"/>
        <w:gridCol w:w="691"/>
        <w:gridCol w:w="391"/>
      </w:tblGrid>
      <w:tr>
        <w:trPr/>
        <w:tc>
          <w:tcPr>
            <w:tcW w:w="2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Treasury securities (1)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85,059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85,059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Money market funds (2)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28,708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fair value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113,767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113,767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763" w:type="dxa"/>
        <w:jc w:val="left"/>
        <w:tblInd w:w="0" w:type="dxa"/>
        <w:tblLayout w:type="fixed"/>
        <w:tblCellMar>
          <w:top w:w="28" w:type="dxa"/>
          <w:left w:w="28" w:type="dxa"/>
          <w:bottom w:w="28" w:type="dxa"/>
          <w:right w:w="28" w:type="dxa"/>
        </w:tblCellMar>
      </w:tblPr>
      <w:tblGrid>
        <w:gridCol w:w="2316"/>
        <w:gridCol w:w="146"/>
        <w:gridCol w:w="196"/>
        <w:gridCol w:w="691"/>
        <w:gridCol w:w="146"/>
        <w:gridCol w:w="146"/>
        <w:gridCol w:w="228"/>
        <w:gridCol w:w="402"/>
        <w:gridCol w:w="146"/>
        <w:gridCol w:w="146"/>
        <w:gridCol w:w="228"/>
        <w:gridCol w:w="402"/>
        <w:gridCol w:w="146"/>
        <w:gridCol w:w="146"/>
        <w:gridCol w:w="196"/>
        <w:gridCol w:w="691"/>
        <w:gridCol w:w="391"/>
      </w:tblGrid>
      <w:tr>
        <w:trPr/>
        <w:tc>
          <w:tcPr>
            <w:tcW w:w="2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Treasury securities (1)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119,612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119,612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Money market funds (2)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31,641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fair value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151,253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151,253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Included in short-term investments in treasury securities in the consolidated balance sheets. These securities have maturity dates of greater than three months, but less than twelve months from the date of purchase.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Included in cash and cash equivalents in the consolidated balance sheets.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 xml:space="preserve">Treasury securities and money market funds are included within Level 1 of the fair value hierarchy because they are actively traded and valued using quoted market prices.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 Marketable Securities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tables show the Company's available-for-sale securities adjusted cost, net unrealized gains and losses and fair value by significant investment category (in thousands):</w:t>
      </w:r>
    </w:p>
    <w:tbl>
      <w:tblPr>
        <w:tblW w:w="7989" w:type="dxa"/>
        <w:jc w:val="left"/>
        <w:tblInd w:w="0" w:type="dxa"/>
        <w:tblLayout w:type="fixed"/>
        <w:tblCellMar>
          <w:top w:w="28" w:type="dxa"/>
          <w:left w:w="28" w:type="dxa"/>
          <w:bottom w:w="28" w:type="dxa"/>
          <w:right w:w="28" w:type="dxa"/>
        </w:tblCellMar>
      </w:tblPr>
      <w:tblGrid>
        <w:gridCol w:w="1696"/>
        <w:gridCol w:w="146"/>
        <w:gridCol w:w="306"/>
        <w:gridCol w:w="939"/>
        <w:gridCol w:w="146"/>
        <w:gridCol w:w="146"/>
        <w:gridCol w:w="487"/>
        <w:gridCol w:w="863"/>
        <w:gridCol w:w="146"/>
        <w:gridCol w:w="146"/>
        <w:gridCol w:w="427"/>
        <w:gridCol w:w="953"/>
        <w:gridCol w:w="166"/>
        <w:gridCol w:w="146"/>
        <w:gridCol w:w="217"/>
        <w:gridCol w:w="668"/>
        <w:gridCol w:w="3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85,164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85,059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85,164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85,059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971" w:type="dxa"/>
        <w:jc w:val="left"/>
        <w:tblInd w:w="0" w:type="dxa"/>
        <w:tblLayout w:type="fixed"/>
        <w:tblCellMar>
          <w:top w:w="28" w:type="dxa"/>
          <w:left w:w="28" w:type="dxa"/>
          <w:bottom w:w="28" w:type="dxa"/>
          <w:right w:w="28" w:type="dxa"/>
        </w:tblCellMar>
      </w:tblPr>
      <w:tblGrid>
        <w:gridCol w:w="1696"/>
        <w:gridCol w:w="146"/>
        <w:gridCol w:w="275"/>
        <w:gridCol w:w="970"/>
        <w:gridCol w:w="146"/>
        <w:gridCol w:w="146"/>
        <w:gridCol w:w="462"/>
        <w:gridCol w:w="888"/>
        <w:gridCol w:w="146"/>
        <w:gridCol w:w="146"/>
        <w:gridCol w:w="498"/>
        <w:gridCol w:w="882"/>
        <w:gridCol w:w="146"/>
        <w:gridCol w:w="146"/>
        <w:gridCol w:w="196"/>
        <w:gridCol w:w="691"/>
        <w:gridCol w:w="3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119,510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119,612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119,510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119,612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 Prepaid Expenses and Other Current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Prepaid expenses and other current assets consisted of the following (in thousands):</w:t>
      </w:r>
    </w:p>
    <w:p>
      <w:pPr>
        <w:pStyle w:val="TextBody"/>
        <w:bidi w:val="0"/>
        <w:jc w:val="left"/>
        <w:rPr/>
      </w:pPr>
      <w:r>
        <w:rPr/>
        <w:t> </w:t>
      </w:r>
    </w:p>
    <w:tbl>
      <w:tblPr>
        <w:tblW w:w="5985" w:type="dxa"/>
        <w:jc w:val="left"/>
        <w:tblInd w:w="0" w:type="dxa"/>
        <w:tblLayout w:type="fixed"/>
        <w:tblCellMar>
          <w:top w:w="28" w:type="dxa"/>
          <w:left w:w="28" w:type="dxa"/>
          <w:bottom w:w="28" w:type="dxa"/>
          <w:right w:w="28" w:type="dxa"/>
        </w:tblCellMar>
      </w:tblPr>
      <w:tblGrid>
        <w:gridCol w:w="3541"/>
        <w:gridCol w:w="146"/>
        <w:gridCol w:w="199"/>
        <w:gridCol w:w="521"/>
        <w:gridCol w:w="146"/>
        <w:gridCol w:w="146"/>
        <w:gridCol w:w="302"/>
        <w:gridCol w:w="793"/>
        <w:gridCol w:w="1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Prepaid maintenance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Prepaid software subscription and licensing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Prepaid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Prepaid employee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Prepayments to CROs and CDMOs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prepaid expenses and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 Property and Equipment,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Property and equipment, net consisted of the following (in thousands): </w:t>
      </w:r>
    </w:p>
    <w:p>
      <w:pPr>
        <w:pStyle w:val="TextBody"/>
        <w:bidi w:val="0"/>
        <w:jc w:val="left"/>
        <w:rPr/>
      </w:pPr>
      <w:r>
        <w:rPr/>
        <w:t> </w:t>
      </w:r>
    </w:p>
    <w:tbl>
      <w:tblPr>
        <w:tblW w:w="8994" w:type="dxa"/>
        <w:jc w:val="left"/>
        <w:tblInd w:w="0" w:type="dxa"/>
        <w:tblLayout w:type="fixed"/>
        <w:tblCellMar>
          <w:top w:w="28" w:type="dxa"/>
          <w:left w:w="28" w:type="dxa"/>
          <w:bottom w:w="28" w:type="dxa"/>
          <w:right w:w="28" w:type="dxa"/>
        </w:tblCellMar>
      </w:tblPr>
      <w:tblGrid>
        <w:gridCol w:w="3586"/>
        <w:gridCol w:w="146"/>
        <w:gridCol w:w="2461"/>
        <w:gridCol w:w="146"/>
        <w:gridCol w:w="196"/>
        <w:gridCol w:w="661"/>
        <w:gridCol w:w="166"/>
        <w:gridCol w:w="146"/>
        <w:gridCol w:w="250"/>
        <w:gridCol w:w="845"/>
        <w:gridCol w:w="391"/>
      </w:tblGrid>
      <w:tr>
        <w:trPr/>
        <w:tc>
          <w:tcPr>
            <w:tcW w:w="3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Lesser of useful life or lease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28,422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Laboratory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Computer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43,919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(27,387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16,532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Depreciation and amortization expense was $1.2 million and $1.6 million for the three months ended June 30, 2026 and 2025, respectively. Depreciation and amortization expense was $2.5 and $3.3 million for the six months ended June 30, 2026 and 2025, respectively.</w:t>
      </w:r>
    </w:p>
    <w:p>
      <w:pPr>
        <w:pStyle w:val="TextBody"/>
        <w:bidi w:val="0"/>
        <w:spacing w:before="240" w:after="283"/>
        <w:jc w:val="left"/>
        <w:rPr>
          <w:rFonts w:ascii="Times New Roman" w:hAnsi="Times New Roman"/>
          <w:sz w:val="20"/>
        </w:rPr>
      </w:pPr>
      <w:r>
        <w:rPr>
          <w:rFonts w:ascii="Times New Roman" w:hAnsi="Times New Roman"/>
          <w:b/>
          <w:color w:val="000000"/>
          <w:sz w:val="20"/>
        </w:rPr>
        <w:t>7. Accrued and Other Current Liabilities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Accrued and other current liabilities consisted of the following (in thousands): </w:t>
      </w:r>
    </w:p>
    <w:p>
      <w:pPr>
        <w:pStyle w:val="TextBody"/>
        <w:bidi w:val="0"/>
        <w:jc w:val="left"/>
        <w:rPr/>
      </w:pPr>
      <w:r>
        <w:rPr/>
        <w:t> </w:t>
      </w:r>
    </w:p>
    <w:tbl>
      <w:tblPr>
        <w:tblW w:w="6257" w:type="dxa"/>
        <w:jc w:val="left"/>
        <w:tblInd w:w="0" w:type="dxa"/>
        <w:tblLayout w:type="fixed"/>
        <w:tblCellMar>
          <w:top w:w="28" w:type="dxa"/>
          <w:left w:w="28" w:type="dxa"/>
          <w:bottom w:w="28" w:type="dxa"/>
          <w:right w:w="28" w:type="dxa"/>
        </w:tblCellMar>
      </w:tblPr>
      <w:tblGrid>
        <w:gridCol w:w="3691"/>
        <w:gridCol w:w="146"/>
        <w:gridCol w:w="196"/>
        <w:gridCol w:w="601"/>
        <w:gridCol w:w="146"/>
        <w:gridCol w:w="146"/>
        <w:gridCol w:w="280"/>
        <w:gridCol w:w="860"/>
        <w:gridCol w:w="19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CRO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CDMO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other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accrued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13,606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 Term Loan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28, 2020, the Company entered into a Loan and Security Agreement (the Loan Agreement) as amended on July 8, 2020, September 14, 2020, September 15, 2020, October 21, 2021 (the 2021 Loan Amendment), December 2, 2022 (the 2022 Loan Amendment) and May 30, 2023 with Banc of California (formerly known as Pacific Western Bank) to finance leasehold improvements for the facilities in Redwood City, CA and other purposes permitted under the Loan Agreement. Under the 2021 Loan Amendment, Banc of California will provide one or more Term Loans (as defined in the 2021 Loan Amendment), as well as Non-Formula Ancillary Services which shall not exceed $5.5 million in the aggregate. Non-Formula Ancillary Services are defined as automated clearinghouse transactions, corporate credit card services, letters of credit, or other treasury management services. Per the terms of the Loan Agreement, the aggregate sum of the outstanding Term Loans and Non-Formula Ancillary Services shall at no time exceed $15.0 million, which each Term Loan to be in an amount of not less than $1.0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March 13, 2023, the Company and Banc of California executed a letter agreeing that, notwithstanding the covenants included in the 2022 Loan Amendment, until June 30, 2023 (i) the Company and its subsidiaries will not be required to maintain the lesser of $200 million or seventy percent (70%) of its combined balances in demand deposit accounts, money market funds and/or insured cash sweep (ICS) accounts with Banc of California and (ii) the Company must maintain its combined balances at Banc of California or its affiliates, including Pacific Western Asset Management (the Letter).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May 30, 2023, the Company further amended its Loan Agreement with Banc of California (the 2023 Loan Amendment). Pursuant to the 2023 Loan Amendment, the Company must maintain the lesser of (i) $35.0 million or (ii) all of the Company’s combined balances in demand deposit accounts, money market accounts, and/or insured cash sweep accounts with Banc of California. If the Company’s total cash and investments drop to less than $35.0 million, the 2023 Loan Amendment permits the Company to maintain cash and/or investments in one or more accounts outside of Banc of California up to a total of $2.5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April 2024, the Term Loan availability under the Loan Agreement expired. The Non-Formula Ancillary Services, which shall not exceed $5.5 million in the aggregate, remained available. On November 27, 2024, the Company executed a payoff letter (the Payoff Letter) with Banc of California to repay in full all outstanding indebtedness and terminate all commitments and obligations, subject to certain exceptions, under the Loan Agreement. Under the Payoff Letter, the Company agreed to pay Banc of California approximately $10,000 in administrative fees and establish cash collateral accounts and execute pledge and security agreements to secure ancillary services provided by Banc of California. The Company paid the $10,000 administrative fees in December 2024. No termination penalty was paid in connection with the Payoff Letter. As of June 30, 2026, we have $2.9 million of restricted cash held in cash collateral accounts.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9. Third Party Agreements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Regeneron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29, 2016, the Company entered into a license and collaboration agreement with Regeneron, which was amended in April 2019, with such amendment becoming effective in connection with Regeneron’s investment in the Company’s Series B redeemable convertible preferred stock private placement transaction in July 2019 (as amended, the Regeneron Agreement).</w:t>
      </w:r>
    </w:p>
    <w:p>
      <w:pPr>
        <w:pStyle w:val="TextBody"/>
        <w:bidi w:val="0"/>
        <w:spacing w:before="240" w:after="283"/>
        <w:jc w:val="left"/>
        <w:rPr>
          <w:rFonts w:ascii="Times New Roman" w:hAnsi="Times New Roman"/>
          <w:sz w:val="20"/>
        </w:rPr>
      </w:pPr>
      <w:r>
        <w:rPr>
          <w:rFonts w:ascii="Times New Roman" w:hAnsi="Times New Roman"/>
          <w:i/>
          <w:color w:val="000000"/>
          <w:sz w:val="20"/>
        </w:rPr>
        <w:t>Financial Terms.</w:t>
      </w:r>
      <w:r>
        <w:rPr>
          <w:rFonts w:ascii="Times New Roman" w:hAnsi="Times New Roman"/>
          <w:color w:val="000000"/>
          <w:sz w:val="20"/>
        </w:rPr>
        <w:t xml:space="preserve"> The Company received a non-refundable upfront payment of $25.0 million from Regeneron upon execution of the Regeneron Agreement and an aggregate of $20.0 million of additional payments for research funding from Regeneron as of June 30, 2026. In addition, Regeneron may have to pay the Company additional amounts in the future consisting of up to an aggregate of $80.0 million of option exercise fees, as specified in the Regeneron Agreement. Per the terms of the agreement, Regeneron must pay the Company high single digit royalties as a percentage of net sales for immune cell products (ICPs) to targets for which it has exclusive rights, and low single digit royalties as a percentage of net sales on any non-ICP product comprising a targeting moiety generated by the Company through the use of Regeneron’s proprietary mice. The Company must pay Regeneron mid-single to low double digit, but less than teens, of royalties as a percentage of net sales of ICPs to targets for which the Company has exercised exclusive rights, and low to mid-single digit of royalties as a percentage of net sales of targeting moieties generated from the Company’s license to use Regeneron’s proprietary mice. Royalties are payable until the longer of the expiration or invalidity of the licensed patent rights or twelve (12) years from first commercial sale. No royalties have been earned or paid under the Regeneron Agreement through June 30,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28, 2022, Regeneron exercised its option to license the exclusive, worldwide rights to ADI-002, an allogeneic gamma delta CAR T cell therapy directed against Glypican-3, pursuant to the Regeneron Agreement. In conjunction with the exercise of the option, Regeneron paid an exercise fee of $20.0 million to the Company on January 28, 2022, and the Company completed the transfer of the associated license rights to Regeneron during the first quarter of 2022. The $20.0 million option exercise fee, plus $5.0 million of revenue recognized relating to the combined performance obligation, resulted in an aggregate of $25.0 million recorded as revenue for the year ended December 31, 2022. The Company's obligations under the combined performance obligation were completed during the year ended December 31, 2022.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Regeneron is responsible, at its sole cost, for all development, manufacturing and commercialization of ADI-002 and must pay the Company high single digit royalties as a percentage of any net sales of ADI-002 for a period commencing on the first commercial sale until the longer of (i) the expiration or invalidity of the licensed patent rights or (ii) a low double digit amount of years from first commercial sale.</w:t>
      </w:r>
    </w:p>
    <w:p>
      <w:pPr>
        <w:pStyle w:val="TextBody"/>
        <w:bidi w:val="0"/>
        <w:spacing w:before="240" w:after="283"/>
        <w:jc w:val="left"/>
        <w:rPr>
          <w:rFonts w:ascii="Times New Roman" w:hAnsi="Times New Roman"/>
          <w:sz w:val="20"/>
        </w:rPr>
      </w:pPr>
      <w:r>
        <w:rPr>
          <w:rFonts w:ascii="Times New Roman" w:hAnsi="Times New Roman"/>
          <w:b/>
          <w:i/>
          <w:color w:val="000000"/>
          <w:sz w:val="20"/>
        </w:rPr>
        <w:t>Twist Bioscience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March 2021, the Company entered into an Antibody Discovery Agreement (the Twist Agreement) with Twist Bioscience Corporation (Twist). Under the terms of the Twist Agreement, Twist will utilize its proprietary platform technology to assist the Company with the discovery of novel antibodies related to target antigens selected by the Company. The Company maintains the sole and exclusive rights to any program antibodies discovered under the Twist Agreement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has the right to patent, assign, license or transfer any work product under the agreement. Furthermore, the Company has the right to sublicense its rights to program antibodies to third parties. The Company may terminate the Twist Agreement at any time, with or without cause, upon a specified period advance written notice.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Per the terms of the agreement, the Company will pay Twist an upfront, non-refundable project initiation fee, a technology access fee, as well as a project fee for each project entered into under the agreement. Additionally, the Company will pay fees for development and regulatory milestones in the tens of millions of dollars and low single digit royalties on net sales to Twist for programs initiated under the agreement. In November 2022, the Company entered into an amendment to the Twist Agreement (the Twist Amendment). The Twist Amendment updates the language associated with Twist's audit rights as well as the amounts associated with technology access fees.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On a cumulative basis as of June 30, 2026, the Company has incurred and expensed $1.1 million related to project initiation fees, technology access fees and projects fees as research and development expense related to this agreement. </w:t>
        <w:br/>
        <w:br/>
      </w:r>
      <w:r>
        <w:rPr>
          <w:rFonts w:ascii="Times New Roman" w:hAnsi="Times New Roman"/>
          <w:b/>
          <w:i/>
          <w:color w:val="000000"/>
          <w:sz w:val="20"/>
        </w:rPr>
        <w:t>CRISPR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16, 2023, the Company entered into a license and collaboration agreement with CRISPR Therapeutics AG (CRISPR Agreement) to non-exclusively license CRISPR’s gene editing technology (CRISPR Technology) for use in up to a specified number of gamma delta licensed products. CRISPR also has an option to co-develop and co-commercialize a future gamma delta product (the Option Product). Additionally, the parties have agreed on prostate-specific membrane antigen (PSMA) as a collaboration target that the Company will develop an Option Product against. CRISPR has opt-in rights to participate in a 50/50 cost and profit split for the Option Product. If CRISPR elects to opt-in, the Option Product would be designated a collaboration product. If CRISPR elects to not opt-in, the Option Product becomes a licensed product. The Company will lead and be primarily responsible for the development, manufacturing, and commercialization of the Collaboration Product in accordance with plans agreed upon by both parties.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each licensed product, the Company will retain worldwide rights and may be required to make potential future payments based on the achievement of development and regulatory approval milestones totaling low double digit million dollars for each non-collaboration product, sales milestones totaling low double digit million dollars for each non-collaboration product, and tiered royalties up to low-single digit percentages on net product sales of such product. Unless earlier terminated, the term of the CRISPR Agreement will terminate (i) on a country-by-country basis with respect to each licensed product until the end of the last royalty term in such country for such licensed product and (ii) when a party opts out for collaboration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the Company has not paid any amounts nor are any amounts owed by the Company under the CRISPR Agreement, and no milestones have been achieved.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City of Hope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9, 2024, City of Hope (COH) and the Company entered into a license agreement (COH Agreement) under which COH granted the Company a non-exclusive, worldwide license to patent rights related to its membrane-bound IL12 technology for use in gamma delta T cell products (Licensed Products). The Company may sublicense Licensed Products through multiple tiers. Unless earlier terminated, the term of the COH Agreement continues, on a country-by-country and Licensed Product-by-Licensed Product basis, until the royalty expiration date for each Licensed Product in each country. The Company may terminate the COH Agreement at any time, with or without cause, upon advance written notice.</w:t>
        <w:br/>
        <w:t> </w:t>
      </w:r>
    </w:p>
    <w:p>
      <w:pPr>
        <w:pStyle w:val="TextBody"/>
        <w:bidi w:val="0"/>
        <w:jc w:val="left"/>
        <w:rPr>
          <w:rFonts w:ascii="Times New Roman" w:hAnsi="Times New Roman"/>
          <w:color w:val="000000"/>
          <w:sz w:val="20"/>
        </w:rPr>
      </w:pPr>
      <w:r>
        <w:rPr>
          <w:rFonts w:ascii="Times New Roman" w:hAnsi="Times New Roman"/>
          <w:color w:val="000000"/>
          <w:sz w:val="20"/>
        </w:rPr>
        <w:t>As consideration for the license, the Company may pay fees for development and regulatory milestones that together total in the single digit millions of dollars and sales milestones in the low-to-mid double digit millions of dollars. Additionally, the Company will pay low single digit percentage royalties on net sales to COH for licensed products covered under the COH Agreement. The Company will pay COH a portion of all consideration received for sublicensing a Licensed Product, ranging from low double digit percentage to a low single digit percentage, such percentage decreasing as development advances for the Licensed Product.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June 30, 2026, the Company has incurred no payments under the COH agreement.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10. Commitments and Contingencies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operating leases for office and laboratory space in Redwood City, California, and Boston, Massachusetts, as well as one finance lease for lab instruments.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Redwood City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2018, Adicet Therapeutics executed a non-cancelable lease agreement, as amended in 2022, pursuant to which the Company leases office and laboratory facility at 1000 Bridge Parkway and a portion of 1200 Bridge Parkway in Redwood City, California (the Redwood City Lease).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January 9, 2023, Adicet Therapeutics entered into a third lease amendment with Westport Office Park, LLC (the Third Amendment). The Third Amendment further amends the Redwood City Lease and increases the tenant improvement allowance as of January 1, 2023 by an additional $3.0 million. The Company fully utilized the allowance for the continued buildout of office and laboratory space at 1000 Bridge Parkway in 2023. Per the terms of this amendment, this additional allowance will be repaid through equal monthly payments of principal amortization and interest on a monthly basis over the term of the lease at an interest rate of eight percent (8%) per annum. The Company received the allowance on February 21, 2023 and increased the operating lease liability accordingly.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August 7, 2023, Adicet Therapeutics entered into a fourth lease amendment with Westport Office Park, LLC (the Fourth Amendment). The Fourth Amendment amends the period over which the tenant improvement allowance received in the Third Amendment will be amortized and identifies the monthly amortization payable by the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November 19, 2025, Adicet Therapeutics entered into a fifth lease amendment with Westport Office Park, LLC (the Fifth Amendment). The Fifth Amendment acknowledges that the portion of the Redwood City Lease related to 1200 Bridge Parkway expired on June 30, 2025.</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Boston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2018, the Company entered into a lease agreement, as amended in 2019, for office space at 500 Boylston St, Boston, Massachusetts (500 Boylston Lease). Under the terms of the 500 Boylston Lease, the Company was permitted to assign, sublease or transfer this lease, with the consent of the landlord.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On July 19, 2021, the Company entered into a sublease agreement with RFS OPCO LLC (Sublessee), whereby the Company agreed to sublease to Sublessee all of the 9,501 rentable square feet of 500 Boylston St. The expected undiscounted cash flows to be received from the sublease as of June 30, 2026 is as follows (in thousands):</w:t>
      </w:r>
    </w:p>
    <w:tbl>
      <w:tblPr>
        <w:tblW w:w="2573" w:type="dxa"/>
        <w:jc w:val="left"/>
        <w:tblInd w:w="0" w:type="dxa"/>
        <w:tblLayout w:type="fixed"/>
        <w:tblCellMar>
          <w:top w:w="28" w:type="dxa"/>
          <w:left w:w="28" w:type="dxa"/>
          <w:bottom w:w="28" w:type="dxa"/>
          <w:right w:w="28" w:type="dxa"/>
        </w:tblCellMar>
      </w:tblPr>
      <w:tblGrid>
        <w:gridCol w:w="1486"/>
        <w:gridCol w:w="146"/>
        <w:gridCol w:w="271"/>
        <w:gridCol w:w="479"/>
        <w:gridCol w:w="191"/>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b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2027 and 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the Company remains liable for the remaining lease payments under the 500 Boylston Lease, totaling $0.1 million, which is included in the future minimum lease payments table below.</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future minimum lease payments under all non-cancelable lease obligations as of June 30, 2026 were as follows (in thousands): </w:t>
      </w:r>
    </w:p>
    <w:tbl>
      <w:tblPr>
        <w:tblW w:w="6415" w:type="dxa"/>
        <w:jc w:val="left"/>
        <w:tblInd w:w="0" w:type="dxa"/>
        <w:tblLayout w:type="fixed"/>
        <w:tblCellMar>
          <w:top w:w="28" w:type="dxa"/>
          <w:left w:w="28" w:type="dxa"/>
          <w:bottom w:w="28" w:type="dxa"/>
          <w:right w:w="28" w:type="dxa"/>
        </w:tblCellMar>
      </w:tblPr>
      <w:tblGrid>
        <w:gridCol w:w="2866"/>
        <w:gridCol w:w="146"/>
        <w:gridCol w:w="352"/>
        <w:gridCol w:w="1088"/>
        <w:gridCol w:w="166"/>
        <w:gridCol w:w="146"/>
        <w:gridCol w:w="349"/>
        <w:gridCol w:w="911"/>
        <w:gridCol w:w="39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Operating 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Finance Leases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2031 and 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undiscounted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Lease liability, net of current maturities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presents the lease cost and information related to the lease right-of-use assets, net and lease liabilities for the quarter ended June 30, 2026 (in thousands):</w:t>
      </w:r>
    </w:p>
    <w:tbl>
      <w:tblPr>
        <w:tblW w:w="7103" w:type="dxa"/>
        <w:jc w:val="left"/>
        <w:tblInd w:w="0" w:type="dxa"/>
        <w:tblLayout w:type="fixed"/>
        <w:tblCellMar>
          <w:top w:w="28" w:type="dxa"/>
          <w:left w:w="28" w:type="dxa"/>
          <w:bottom w:w="28" w:type="dxa"/>
          <w:right w:w="28" w:type="dxa"/>
        </w:tblCellMar>
      </w:tblPr>
      <w:tblGrid>
        <w:gridCol w:w="4891"/>
        <w:gridCol w:w="146"/>
        <w:gridCol w:w="448"/>
        <w:gridCol w:w="1307"/>
        <w:gridCol w:w="311"/>
      </w:tblGrid>
      <w:tr>
        <w:trPr/>
        <w:tc>
          <w:tcPr>
            <w:tcW w:w="4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Short-term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Finance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Amortization of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Interest on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Sublease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Total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854</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cash flows used for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(1,043</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Financing cash flows used for finance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Weighted-average remaining lease term - operating leases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Weighted-average remaining lease term - finance leases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Weighted-average discount rate -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Weighted-average discount rate -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For the six months ended June 30, 2026, the Company recognized $1.8 million and less than $0.1 million in operating lease and short-term lease costs, respectively. Additionally, for the six months ended June 30, 2026, the Company recognized $0.4 million in sublease income.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 the six months ended June 30, 2026, the Company recognized less than $0.1 million in reduction of right-of-use assets and interest on lease liabilities for the finance lease.</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maintains letters of credit in connection with the Company’s office leases in Redwood City, CA and Boston, MA. Refer to Note 17 Restricted Cash for additional information about these letters of credit.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11. Stockholders' Equity</w:t>
      </w:r>
    </w:p>
    <w:p>
      <w:pPr>
        <w:pStyle w:val="TextBody"/>
        <w:bidi w:val="0"/>
        <w:spacing w:before="240" w:after="283"/>
        <w:jc w:val="both"/>
        <w:rPr>
          <w:rFonts w:ascii="Times New Roman" w:hAnsi="Times New Roman"/>
          <w:sz w:val="20"/>
        </w:rPr>
      </w:pPr>
      <w:r>
        <w:rPr>
          <w:rFonts w:ascii="Times New Roman" w:hAnsi="Times New Roman"/>
          <w:b/>
          <w:i/>
          <w:color w:val="000000"/>
          <w:sz w:val="20"/>
        </w:rPr>
        <w:t>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Restated Certificate of Incorporation, which became effective as of June 6, 2024, authorized the Company to issue 300,000,000 shares of common stock, par value $0.0001 per share.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Common stockholders are entitled to dividends if and when declared by the board of directors of the Company subject to the prior rights of the preferred stockholders. As of June 30, 2026, no dividends on common stock had been declared by the board of directors.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Company has the following shares of common stock reserved for future issuance:</w:t>
      </w:r>
    </w:p>
    <w:tbl>
      <w:tblPr>
        <w:tblW w:w="7622" w:type="dxa"/>
        <w:jc w:val="left"/>
        <w:tblInd w:w="0" w:type="dxa"/>
        <w:tblLayout w:type="fixed"/>
        <w:tblCellMar>
          <w:top w:w="28" w:type="dxa"/>
          <w:left w:w="28" w:type="dxa"/>
          <w:bottom w:w="28" w:type="dxa"/>
          <w:right w:w="28" w:type="dxa"/>
        </w:tblCellMar>
      </w:tblPr>
      <w:tblGrid>
        <w:gridCol w:w="4681"/>
        <w:gridCol w:w="146"/>
        <w:gridCol w:w="146"/>
        <w:gridCol w:w="826"/>
        <w:gridCol w:w="146"/>
        <w:gridCol w:w="146"/>
        <w:gridCol w:w="171"/>
        <w:gridCol w:w="969"/>
        <w:gridCol w:w="391"/>
      </w:tblGrid>
      <w:tr>
        <w:trPr/>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 options and restricted stock units available for future grant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251,219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682,713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 options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1,694,741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763,464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Unvested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70,663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46,842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warrants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1,402,833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1,152,833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common stock reserved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3,419,456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2,645,852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22, 2024, the Company entered into the Underwriting Agreement with Jefferies and Guggenheim, as representatives of the 2024 Underwriters, related to the Offering of 2,023,729 shares of common stock, which included 332,812 shares sold and issued upon the exercise in full by the 2024 Underwriters of their option to purchase additional shares of common stock, and, in lieu of common stock to certain investors, pre-funded warrants to purchase 527,833 shares of common stock. The pre-funded warrants were sold at a public offering price of $38.3984 per pre-funded warrant, which represents the per share public offering price of each share of common stock minus the $0.0016 per share exercise price for each pre-funded warrant. The pre-funded warrants do not have an expiration date and are exercisable at any time. The pre-funded warrants are classified as equity within the Company's consolidated balance sheet. The Company received net proceeds from the Offering, after deducting the underwriting discount and commissions and other offering expenses, of approximately $91.7 million. The Company may receive nominal proceeds, if any, from the exercise of the pre-funded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October 7, 2025, the Company entered into the 2025 Underwriting Agreement with Jefferies and Guggenheim, as representatives of the 2025 Underwriters, related to the 2025 Offering of 4,375,062 shares of common stock, and, in lieu of common stock to an investor, pre-funded warrants to purchase 625,000 shares of common stock. The 2025 Shares were sold at a price of $16.00 per share and the 2025 Pre-Funded Warrants were sold at a price of $15.9984 per underlying share, which represents the per share offering price of each share of common stock minus the $0.0016 per share exercise price for each pre-funded warrant. The pre-funded warrants do not have an expiration date and are exercisable at any time. The pre-funded warrants are classified as equity within the Company’s consolidated balance sheet. The Company received net proceeds from the 2025 Offering, after deducting the underwriting discount and commissions and other offering expenses, of approximately $74.8 million. The Company may receive nominal proceeds, if any, from the exercise of the 2025 Pre-Funded Warrants.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In April 2026, the Company entered into an exchange agreement with RA Capital Management, L.P. and RA Capital Healthcare Fund, L.P. (together, RA Capital), pursuant to which RA Capital exchanged 250,000 shares of the Company's common stock, par value $0.0001 per share, for a pre-funded warrant to acquire 250,000 shares of the Company's common stock. The 250,000 shares of common stock subject to the exchange agreements were retired on the date of the exchange.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pre-funded warrant has an exercise price of $0.0001 per underlying share. The pre-funded warrant is exercisable from the date of issuance by means of a cashless exercise. Under the pre-funded warrant, the Company may not effect the exercise of the pre-funded warrant, and a holder will not be entitled to exercise any portion of the pre-funded warrant that, upon giving effect to such exercise, would cause: (i) the aggregate number of shares of common stock beneficially owned by the holder (together with its affiliates) to exceed 9.99% of the number of shares of common stock outstanding immediately after giving effect to the exercise, or (ii) the combined voting power of the Company’s securities beneficially owned by the holder (together with its affiliates) to exceed 9.99% of the combined voting power of all of the Company’s securities then outstanding immediately after giving effect to the exercise, as such percentage ownership is determined in accordance with the terms of the pre-funded warrant, unless such percentage is increased upon at least 61 days’ prior notice, but not in excess of 19.99%.</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provides a roll forward of outstanding pre-funded warrants to purchase common stock as of June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510" w:type="dxa"/>
        <w:jc w:val="left"/>
        <w:tblInd w:w="0" w:type="dxa"/>
        <w:tblLayout w:type="fixed"/>
        <w:tblCellMar>
          <w:top w:w="28" w:type="dxa"/>
          <w:left w:w="28" w:type="dxa"/>
          <w:bottom w:w="28" w:type="dxa"/>
          <w:right w:w="28" w:type="dxa"/>
        </w:tblCellMar>
      </w:tblPr>
      <w:tblGrid>
        <w:gridCol w:w="2626"/>
        <w:gridCol w:w="146"/>
        <w:gridCol w:w="547"/>
        <w:gridCol w:w="3098"/>
        <w:gridCol w:w="146"/>
        <w:gridCol w:w="146"/>
        <w:gridCol w:w="639"/>
        <w:gridCol w:w="1971"/>
        <w:gridCol w:w="19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u w:val="single"/>
              </w:rPr>
            </w:pPr>
            <w:r>
              <w:rPr>
                <w:rFonts w:ascii="Times New Roman" w:hAnsi="Times New Roman"/>
                <w:b/>
                <w:color w:val="000000"/>
                <w:sz w:val="18"/>
                <w:u w:val="single"/>
              </w:rPr>
              <w:t>Issuance 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Shares of Common Stock Issuable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Average Exercise 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Outstanding,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1,152,833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Warrants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Outstanding,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1,402,833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12. Stock-based Compensation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Total stock-based compensation expense recognized was as follows (in thousands): </w:t>
      </w:r>
    </w:p>
    <w:p>
      <w:pPr>
        <w:pStyle w:val="TextBody"/>
        <w:bidi w:val="0"/>
        <w:jc w:val="left"/>
        <w:rPr/>
      </w:pPr>
      <w:r>
        <w:rPr/>
        <w:t> </w:t>
      </w:r>
    </w:p>
    <w:tbl>
      <w:tblPr>
        <w:tblW w:w="7345" w:type="dxa"/>
        <w:jc w:val="left"/>
        <w:tblInd w:w="0" w:type="dxa"/>
        <w:tblLayout w:type="fixed"/>
        <w:tblCellMar>
          <w:top w:w="28" w:type="dxa"/>
          <w:left w:w="28" w:type="dxa"/>
          <w:bottom w:w="28" w:type="dxa"/>
          <w:right w:w="28" w:type="dxa"/>
        </w:tblCellMar>
      </w:tblPr>
      <w:tblGrid>
        <w:gridCol w:w="2386"/>
        <w:gridCol w:w="146"/>
        <w:gridCol w:w="260"/>
        <w:gridCol w:w="678"/>
        <w:gridCol w:w="193"/>
        <w:gridCol w:w="193"/>
        <w:gridCol w:w="260"/>
        <w:gridCol w:w="678"/>
        <w:gridCol w:w="146"/>
        <w:gridCol w:w="146"/>
        <w:gridCol w:w="237"/>
        <w:gridCol w:w="620"/>
        <w:gridCol w:w="177"/>
        <w:gridCol w:w="177"/>
        <w:gridCol w:w="237"/>
        <w:gridCol w:w="620"/>
        <w:gridCol w:w="19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872</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1,707</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569</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1,441</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2,744</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6,088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In June 2026, the Company granted 110,000 stock options to certain employees with service vesting conditions that contain performance-based acceleration clauses. Vesting is based on continued service and may accelerate upon the achievement of specified milestone events. The Company concluded that the probability of achieving each of the milestones was not probable as of the grant date and remained not probable as of June 30, 2026. The Company will recognize the compensation expense for these options based on the graded vesting method over the service period and has recognized less than $0.1 million of related expense during the three months ended June 30, 2026. </w:t>
      </w:r>
    </w:p>
    <w:p>
      <w:pPr>
        <w:pStyle w:val="TextBody"/>
        <w:bidi w:val="0"/>
        <w:jc w:val="left"/>
        <w:rPr>
          <w:rFonts w:ascii="Times New Roman" w:hAnsi="Times New Roman"/>
          <w:color w:val="000000"/>
          <w:sz w:val="20"/>
        </w:rPr>
      </w:pPr>
      <w:r>
        <w:rPr>
          <w:rFonts w:ascii="Times New Roman" w:hAnsi="Times New Roman"/>
          <w:color w:val="000000"/>
          <w:sz w:val="20"/>
        </w:rPr>
        <w:t xml:space="preserve">A summary of stock option activity for the six months ended June 30, 2026 is set forth below: </w:t>
      </w:r>
    </w:p>
    <w:p>
      <w:pPr>
        <w:pStyle w:val="TextBody"/>
        <w:bidi w:val="0"/>
        <w:jc w:val="left"/>
        <w:rPr/>
      </w:pPr>
      <w:r>
        <w:rPr/>
        <w:t> </w:t>
      </w:r>
    </w:p>
    <w:tbl>
      <w:tblPr>
        <w:tblW w:w="8332" w:type="dxa"/>
        <w:jc w:val="left"/>
        <w:tblInd w:w="0" w:type="dxa"/>
        <w:tblLayout w:type="fixed"/>
        <w:tblCellMar>
          <w:top w:w="28" w:type="dxa"/>
          <w:left w:w="28" w:type="dxa"/>
          <w:bottom w:w="28" w:type="dxa"/>
          <w:right w:w="28" w:type="dxa"/>
        </w:tblCellMar>
      </w:tblPr>
      <w:tblGrid>
        <w:gridCol w:w="3181"/>
        <w:gridCol w:w="146"/>
        <w:gridCol w:w="151"/>
        <w:gridCol w:w="855"/>
        <w:gridCol w:w="166"/>
        <w:gridCol w:w="146"/>
        <w:gridCol w:w="220"/>
        <w:gridCol w:w="576"/>
        <w:gridCol w:w="146"/>
        <w:gridCol w:w="146"/>
        <w:gridCol w:w="303"/>
        <w:gridCol w:w="688"/>
        <w:gridCol w:w="146"/>
        <w:gridCol w:w="146"/>
        <w:gridCol w:w="311"/>
        <w:gridCol w:w="814"/>
        <w:gridCol w:w="1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br/>
              <w:t>Underlying</w:t>
              <w:br/>
              <w:t>Outstanding</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 xml:space="preserve">Term </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b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Outstanding,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763,464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1,003,011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Options forfeited or 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(71,629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Outstanding,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1,694,741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Options exercisable,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482,475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Vested and expected to vest,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1,694,741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assumptions used in the Black-Scholes option-pricing model to calculate stock-based compensation are as follows:</w:t>
      </w:r>
    </w:p>
    <w:p>
      <w:pPr>
        <w:pStyle w:val="TextBody"/>
        <w:bidi w:val="0"/>
        <w:jc w:val="left"/>
        <w:rPr/>
      </w:pPr>
      <w:r>
        <w:rPr/>
        <w:t> </w:t>
      </w:r>
    </w:p>
    <w:tbl>
      <w:tblPr>
        <w:tblW w:w="7744" w:type="dxa"/>
        <w:jc w:val="left"/>
        <w:tblInd w:w="0" w:type="dxa"/>
        <w:tblLayout w:type="fixed"/>
        <w:tblCellMar>
          <w:top w:w="28" w:type="dxa"/>
          <w:left w:w="28" w:type="dxa"/>
          <w:bottom w:w="28" w:type="dxa"/>
          <w:right w:w="28" w:type="dxa"/>
        </w:tblCellMar>
      </w:tblPr>
      <w:tblGrid>
        <w:gridCol w:w="2101"/>
        <w:gridCol w:w="146"/>
        <w:gridCol w:w="1366"/>
        <w:gridCol w:w="146"/>
        <w:gridCol w:w="1186"/>
        <w:gridCol w:w="146"/>
        <w:gridCol w:w="1276"/>
        <w:gridCol w:w="146"/>
        <w:gridCol w:w="123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Fair value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$8.1</w:t>
            </w:r>
            <w:r>
              <w:rPr>
                <w:rFonts w:ascii="Times New Roman" w:hAnsi="Times New Roman"/>
                <w:color w:val="000000"/>
                <w:sz w:val="20"/>
              </w:rPr>
              <w:t> </w:t>
            </w:r>
            <w:r>
              <w:rPr>
                <w:rFonts w:ascii="Times New Roman" w:hAnsi="Times New Roman"/>
                <w:color w:val="000000"/>
                <w:sz w:val="18"/>
              </w:rPr>
              <w:t>- $8.1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$8.48</w:t>
            </w:r>
            <w:r>
              <w:rPr>
                <w:rFonts w:ascii="Times New Roman" w:hAnsi="Times New Roman"/>
                <w:color w:val="000000"/>
                <w:sz w:val="20"/>
              </w:rPr>
              <w:t> </w:t>
            </w:r>
            <w:r>
              <w:rPr>
                <w:rFonts w:ascii="Times New Roman" w:hAnsi="Times New Roman"/>
                <w:color w:val="000000"/>
                <w:sz w:val="18"/>
              </w:rPr>
              <w:t>- $12.48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$6.81</w:t>
            </w:r>
            <w:r>
              <w:rPr>
                <w:rFonts w:ascii="Times New Roman" w:hAnsi="Times New Roman"/>
                <w:color w:val="000000"/>
                <w:sz w:val="20"/>
              </w:rPr>
              <w:t> </w:t>
            </w:r>
            <w:r>
              <w:rPr>
                <w:rFonts w:ascii="Times New Roman" w:hAnsi="Times New Roman"/>
                <w:color w:val="000000"/>
                <w:sz w:val="18"/>
              </w:rPr>
              <w:t>- $8.1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$8.48</w:t>
            </w:r>
            <w:r>
              <w:rPr>
                <w:rFonts w:ascii="Times New Roman" w:hAnsi="Times New Roman"/>
                <w:color w:val="000000"/>
                <w:sz w:val="20"/>
              </w:rPr>
              <w:t> </w:t>
            </w:r>
            <w:r>
              <w:rPr>
                <w:rFonts w:ascii="Times New Roman" w:hAnsi="Times New Roman"/>
                <w:color w:val="000000"/>
                <w:sz w:val="18"/>
              </w:rPr>
              <w:t>- $14.4</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5.5 - 6.02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5.5</w:t>
            </w:r>
            <w:r>
              <w:rPr>
                <w:rFonts w:ascii="Times New Roman" w:hAnsi="Times New Roman"/>
                <w:color w:val="000000"/>
                <w:sz w:val="20"/>
              </w:rPr>
              <w:t> </w:t>
            </w:r>
            <w:r>
              <w:rPr>
                <w:rFonts w:ascii="Times New Roman" w:hAnsi="Times New Roman"/>
                <w:color w:val="000000"/>
                <w:sz w:val="18"/>
              </w:rPr>
              <w:t>- 6.1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5.5 - 6.08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5.5</w:t>
            </w:r>
            <w:r>
              <w:rPr>
                <w:rFonts w:ascii="Times New Roman" w:hAnsi="Times New Roman"/>
                <w:color w:val="000000"/>
                <w:sz w:val="20"/>
              </w:rPr>
              <w:t> </w:t>
            </w:r>
            <w:r>
              <w:rPr>
                <w:rFonts w:ascii="Times New Roman" w:hAnsi="Times New Roman"/>
                <w:color w:val="000000"/>
                <w:sz w:val="18"/>
              </w:rPr>
              <w:t>- 6.1</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90.85% - 91.58%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89.9% - 94.0%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90.85% - 92.0%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88.3% - 94.0%</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Risk free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4.26% - 4.29%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3.8% - 4.1%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3.62% - 4.29%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3.8% - 4.4%</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Dividend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Restricted Stock Units (RSUs)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summary of RSU activity and related information for the six months ended June 30, 2026 is set forth below:</w:t>
      </w:r>
    </w:p>
    <w:p>
      <w:pPr>
        <w:pStyle w:val="TextBody"/>
        <w:bidi w:val="0"/>
        <w:jc w:val="left"/>
        <w:rPr/>
      </w:pPr>
      <w:r>
        <w:rPr/>
        <w:t> </w:t>
      </w:r>
    </w:p>
    <w:tbl>
      <w:tblPr>
        <w:tblW w:w="7295" w:type="dxa"/>
        <w:jc w:val="left"/>
        <w:tblInd w:w="0" w:type="dxa"/>
        <w:tblLayout w:type="fixed"/>
        <w:tblCellMar>
          <w:top w:w="28" w:type="dxa"/>
          <w:left w:w="28" w:type="dxa"/>
          <w:bottom w:w="28" w:type="dxa"/>
          <w:right w:w="28" w:type="dxa"/>
        </w:tblCellMar>
      </w:tblPr>
      <w:tblGrid>
        <w:gridCol w:w="2626"/>
        <w:gridCol w:w="146"/>
        <w:gridCol w:w="407"/>
        <w:gridCol w:w="1843"/>
        <w:gridCol w:w="166"/>
        <w:gridCol w:w="146"/>
        <w:gridCol w:w="489"/>
        <w:gridCol w:w="1281"/>
        <w:gridCol w:w="19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Units 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Outstanding,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46,842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RSUs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RSUs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RSUs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Outstanding,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70,663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Option repricing</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On August 8, 2023, the board of directors approved a stock option repricing (the Option Repricing) effective on August 14, 2023 (the Effective Date) in accordance with the terms of the Company’s 2015 Stock Incentive Plan (the 2015 Plan) and Second Amended and Restated 2018 Stock Option and Incentive Plan (the 2018 Plan, and together with the 2015 Plan, the Plans). Pursuant to the Option Repricing, the exercise price of each stock option previously granted under the Plans, totaling 401,994 options, was amended to reduce the exercise price of such options to $34.24 per share, the closing price of the Company’s common stock on the Nasdaq Global Market on the Effective Date, as updated to reflect the reverse stock split.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repriced options otherwise retained their existing terms and conditions as set forth in the Plans and applicable award agreements. The stock option modification resulted in $4.6 million of incremental compensation cost, which was calculated using the Black-Scholes option-pricing model. Of the incremental compensation cost, $0.1 million and $0.2 million was recognized in the six months ended June 30, 2026 and 2025, respectively. The remaining incremental compensation cost of $0.1 million, net of the reversal of expense related to employee terminations prior to August 14, 2024, will be recognized on the straight-line basis over the remaining vesting period of the repriced options. The incremental cost is included in general and administrative expense and research and development expense on the consolidated statements of operations.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Effective August 21, 2024, the board of directors approved a rescission of the Option Repricing for certain non-employee directors of the Company. All of the affected stock options have been reverted to their original exercise price as established at the time of the grant. The Company will continue to recognize the incremental fair value from the Option Repricing for the impacted options. The compensation expense associated with the Option Repricing for these options was not material.</w:t>
      </w:r>
    </w:p>
    <w:p>
      <w:pPr>
        <w:pStyle w:val="TextBody"/>
        <w:bidi w:val="0"/>
        <w:jc w:val="left"/>
        <w:rPr>
          <w:rFonts w:ascii="Times New Roman" w:hAnsi="Times New Roman"/>
          <w:sz w:val="20"/>
        </w:rPr>
      </w:pPr>
      <w:r>
        <w:rPr>
          <w:rFonts w:ascii="Times New Roman" w:hAnsi="Times New Roman"/>
          <w:b/>
          <w:color w:val="000000"/>
          <w:sz w:val="20"/>
        </w:rPr>
        <w:t>13. Net Loss per Share</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sets forth the computation of basic and diluted net loss per share (in thousands, except share and per share data):</w:t>
      </w:r>
    </w:p>
    <w:tbl>
      <w:tblPr>
        <w:tblW w:w="10205" w:type="dxa"/>
        <w:jc w:val="left"/>
        <w:tblInd w:w="0" w:type="dxa"/>
        <w:tblLayout w:type="fixed"/>
        <w:tblCellMar>
          <w:top w:w="28" w:type="dxa"/>
          <w:left w:w="28" w:type="dxa"/>
          <w:bottom w:w="28" w:type="dxa"/>
          <w:right w:w="28" w:type="dxa"/>
        </w:tblCellMar>
      </w:tblPr>
      <w:tblGrid>
        <w:gridCol w:w="4644"/>
        <w:gridCol w:w="146"/>
        <w:gridCol w:w="196"/>
        <w:gridCol w:w="916"/>
        <w:gridCol w:w="166"/>
        <w:gridCol w:w="146"/>
        <w:gridCol w:w="196"/>
        <w:gridCol w:w="826"/>
        <w:gridCol w:w="166"/>
        <w:gridCol w:w="146"/>
        <w:gridCol w:w="196"/>
        <w:gridCol w:w="916"/>
        <w:gridCol w:w="166"/>
        <w:gridCol w:w="146"/>
        <w:gridCol w:w="196"/>
        <w:gridCol w:w="826"/>
        <w:gridCol w:w="211"/>
      </w:tblGrid>
      <w:tr>
        <w:trPr/>
        <w:tc>
          <w:tcPr>
            <w:tcW w:w="4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(59,431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6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Weighted-average shares used in computing 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10,745,553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5,692,816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10,748,058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5,713,182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outstanding shares of potentially dilutive securities were excluded from the computation of diluted net loss per share for the period presented because including them would have been antidilutive:</w:t>
      </w:r>
    </w:p>
    <w:tbl>
      <w:tblPr>
        <w:tblW w:w="5199" w:type="dxa"/>
        <w:jc w:val="left"/>
        <w:tblInd w:w="0" w:type="dxa"/>
        <w:tblLayout w:type="fixed"/>
        <w:tblCellMar>
          <w:top w:w="28" w:type="dxa"/>
          <w:left w:w="28" w:type="dxa"/>
          <w:bottom w:w="28" w:type="dxa"/>
          <w:right w:w="28" w:type="dxa"/>
        </w:tblCellMar>
      </w:tblPr>
      <w:tblGrid>
        <w:gridCol w:w="2626"/>
        <w:gridCol w:w="146"/>
        <w:gridCol w:w="146"/>
        <w:gridCol w:w="826"/>
        <w:gridCol w:w="146"/>
        <w:gridCol w:w="146"/>
        <w:gridCol w:w="146"/>
        <w:gridCol w:w="826"/>
        <w:gridCol w:w="19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1,694,741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1,136,551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Unvested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70,663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56,385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1,765,404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1,192,936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14. Income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recognized $0.1 million of income tax expense during the three and six months ended June 30, 2026 and recognized no income tax expense during the three and six months ended June 30, 2025. The Company maintains a full valuation allowance against its deferred tax assets due to the Company’s history of losses as of June 30,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4, 2025, the One Big Beautiful Bill Act (OBBBA), which includes a broad range of tax reform provisions, was signed into law in the United States and we continue to assess its impact. The OBBBA is not currently expected to materially impact the Company’s effective tax rate or cash flows in the current fiscal year.</w:t>
        <w:b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15. Related Party</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As of the latest public filing made by Regeneron, Regeneron owned 60,511 shares of the Company’s common stock. Regeneron became a related party in July 2019 as a result of Series B redeemable convertible preferred stock financing which was subsequently converted into common stock. For the three and six months ended June 30, 2026, the Company recorded no revenue from the Regeneron Agreement. See </w:t>
      </w:r>
      <w:r>
        <w:rPr>
          <w:rFonts w:ascii="Times New Roman" w:hAnsi="Times New Roman"/>
          <w:i/>
          <w:color w:val="000000"/>
          <w:sz w:val="20"/>
        </w:rPr>
        <w:t>Note 9</w:t>
      </w:r>
      <w:r>
        <w:rPr>
          <w:rFonts w:ascii="Times New Roman" w:hAnsi="Times New Roman"/>
          <w:color w:val="000000"/>
          <w:sz w:val="20"/>
        </w:rPr>
        <w:t xml:space="preserve"> for a discussion of the Regeneron Agreement. </w:t>
      </w:r>
    </w:p>
    <w:p>
      <w:pPr>
        <w:pStyle w:val="TextBody"/>
        <w:bidi w:val="0"/>
        <w:spacing w:before="240" w:after="283"/>
        <w:jc w:val="left"/>
        <w:rPr>
          <w:rFonts w:ascii="Times New Roman" w:hAnsi="Times New Roman"/>
          <w:sz w:val="20"/>
        </w:rPr>
      </w:pPr>
      <w:r>
        <w:rPr>
          <w:rFonts w:ascii="Times New Roman" w:hAnsi="Times New Roman"/>
          <w:b/>
          <w:color w:val="000000"/>
          <w:sz w:val="20"/>
        </w:rPr>
        <w:t>16. Segment Reporting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operations are organized and reported as a single reportable segment, which includes all activities related to the discovery, development, and commercialization of allogeneic gamma delta T cell therapies for autoimmune diseases and cancer. The Company’s Chief Executive Officer, who is the chief operating decision maker (CODM), reviews financial information on an aggregate basis for purposes of allocating resources and evaluating financial performance. This presentation is consistent with how the Company’s CODM assesses the performance of the Company and makes operating decisions on a consolidated basis. The CODM assesses performance and decides how to allocate resources based on consolidated net loss that also is reported on the consolidated statements of operations and comprehensive loss as net loss. The CODM uses consolidated net loss to monitor budget versus actual results, assess cash runway, and benchmark against the Company’s competitors. The measure of segment assets is reported on the consolidated balance sheets as total assets. The Company’s assets are primarily held in the United States.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sets forth the Company’s segment information (in thousands):</w:t>
      </w:r>
    </w:p>
    <w:tbl>
      <w:tblPr>
        <w:tblW w:w="10205" w:type="dxa"/>
        <w:jc w:val="left"/>
        <w:tblInd w:w="0" w:type="dxa"/>
        <w:tblLayout w:type="fixed"/>
        <w:tblCellMar>
          <w:top w:w="28" w:type="dxa"/>
          <w:left w:w="28" w:type="dxa"/>
          <w:bottom w:w="28" w:type="dxa"/>
          <w:right w:w="28" w:type="dxa"/>
        </w:tblCellMar>
      </w:tblPr>
      <w:tblGrid>
        <w:gridCol w:w="5107"/>
        <w:gridCol w:w="244"/>
        <w:gridCol w:w="750"/>
        <w:gridCol w:w="207"/>
        <w:gridCol w:w="182"/>
        <w:gridCol w:w="244"/>
        <w:gridCol w:w="750"/>
        <w:gridCol w:w="166"/>
        <w:gridCol w:w="146"/>
        <w:gridCol w:w="225"/>
        <w:gridCol w:w="692"/>
        <w:gridCol w:w="190"/>
        <w:gridCol w:w="168"/>
        <w:gridCol w:w="225"/>
        <w:gridCol w:w="692"/>
        <w:gridCol w:w="217"/>
      </w:tblGrid>
      <w:tr>
        <w:trPr/>
        <w:tc>
          <w:tcPr>
            <w:tcW w:w="510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51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External program expenses for product candidates</w:t>
            </w:r>
          </w:p>
        </w:tc>
        <w:tc>
          <w:tcPr>
            <w:tcW w:w="9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Prula-cel</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2,672</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4,719</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7,852</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ADI-270</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5,470</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ADI-212</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1,226</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2,174</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769</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external program expenses for product candidates</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3,707</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7,071</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14,091</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Non-program specific expenses</w:t>
            </w:r>
            <w:r>
              <w:rPr>
                <w:rFonts w:ascii="Times New Roman" w:hAnsi="Times New Roman"/>
                <w:color w:val="000000"/>
                <w:sz w:val="12"/>
              </w:rPr>
              <w:t>(1)</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3,055</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6,070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4,764</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Personnel-related expenses (including non-cash stock-based compensation)</w:t>
            </w:r>
            <w:r>
              <w:rPr>
                <w:rFonts w:ascii="Times New Roman" w:hAnsi="Times New Roman"/>
                <w:color w:val="000000"/>
                <w:sz w:val="12"/>
              </w:rPr>
              <w:t>(2)</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9,116</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18,642</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27,633</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1,199</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3,335</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Professional services and consulting fees</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1,634</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3,327</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4,420</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Facilities and infrastructure expenses</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1,801</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3,582</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4,605</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Other segment expense</w:t>
            </w:r>
            <w:r>
              <w:rPr>
                <w:rFonts w:ascii="Times New Roman" w:hAnsi="Times New Roman"/>
                <w:color w:val="000000"/>
                <w:sz w:val="12"/>
              </w:rPr>
              <w:t>(3)</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1,789</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2,638</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3,429</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(1,168</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(3,081</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Other expense, net</w:t>
            </w:r>
            <w:r>
              <w:rPr>
                <w:rFonts w:ascii="Times New Roman" w:hAnsi="Times New Roman"/>
                <w:color w:val="000000"/>
                <w:sz w:val="12"/>
              </w:rPr>
              <w:t>(4)</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provision</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Segment net loss</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21,358</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41,602</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59,431</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Relates to platform research and development expenses which are not attributed to specific programs.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Relates to personnel-related expenses including non-cash stock-based compensation for the three months ended June 30, 2026 and 2025 of $1.4 million and $2.9 million, respectively, and the six months ended June 30, 2026 and 2025 of $2.7 million and $6.1 million,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Relates to other expenses primarily for software subscriptions and licenses, office expenses, travel and entertainment, director compensation and recruiting fees.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interest expense and other expenses.</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17. Restricted Cash</w:t>
      </w:r>
      <w:r>
        <w:rPr>
          <w:rFonts w:ascii="Times New Roman" w:hAnsi="Times New Roman"/>
          <w:color w:val="000000"/>
          <w:sz w:val="20"/>
        </w:rPr>
        <w:t xml:space="preserve">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As of June 30, 2026, the Company maintained letters of credit of $2.9 million, which are collateralized with bank accounts at financial institutions in accordance with the agreements. The letters of credit are included within restricted cash on the Company's consolidated balance sheets. Total restricted cash as of June 30, 2026 and December 31, 2025 consisted of the following (in thousands): </w:t>
      </w:r>
    </w:p>
    <w:tbl>
      <w:tblPr>
        <w:tblW w:w="4740" w:type="dxa"/>
        <w:jc w:val="left"/>
        <w:tblInd w:w="0" w:type="dxa"/>
        <w:tblLayout w:type="fixed"/>
        <w:tblCellMar>
          <w:top w:w="28" w:type="dxa"/>
          <w:left w:w="28" w:type="dxa"/>
          <w:bottom w:w="28" w:type="dxa"/>
          <w:right w:w="28" w:type="dxa"/>
        </w:tblCellMar>
      </w:tblPr>
      <w:tblGrid>
        <w:gridCol w:w="2221"/>
        <w:gridCol w:w="146"/>
        <w:gridCol w:w="208"/>
        <w:gridCol w:w="542"/>
        <w:gridCol w:w="146"/>
        <w:gridCol w:w="146"/>
        <w:gridCol w:w="315"/>
        <w:gridCol w:w="825"/>
        <w:gridCol w:w="1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Redwood City, CA lease</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Boston, MA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Corporate credit card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Includes the Company's lease at 1000 Bridge Parkway and 1200 Bridge Parkway. </w:t>
      </w:r>
    </w:p>
    <w:p>
      <w:pPr>
        <w:pStyle w:val="TextBody"/>
        <w:bidi w:val="0"/>
        <w:jc w:val="left"/>
        <w:rPr>
          <w:rFonts w:ascii="Times New Roman" w:hAnsi="Times New Roman"/>
          <w:color w:val="000000"/>
          <w:sz w:val="20"/>
        </w:rPr>
      </w:pPr>
      <w:r>
        <w:rPr>
          <w:rFonts w:ascii="Times New Roman" w:hAnsi="Times New Roman"/>
          <w:color w:val="000000"/>
          <w:sz w:val="20"/>
        </w:rPr>
      </w:r>
    </w:p>
    <w:p>
      <w:pPr>
        <w:pStyle w:val="TextBody"/>
        <w:bidi w:val="0"/>
        <w:spacing w:before="240" w:after="120"/>
        <w:jc w:val="left"/>
        <w:rPr/>
      </w:pPr>
      <w:r>
        <w:rPr/>
        <w:t> </w:t>
      </w:r>
    </w:p>
    <w:p>
      <w:pPr>
        <w:pStyle w:val="TextBody"/>
        <w:bidi w:val="0"/>
        <w:spacing w:before="120" w:after="12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0" w:name="item_2_managements_discussion_analysis_f"/>
      <w:bookmarkEnd w:id="10"/>
      <w:r>
        <w:rPr>
          <w:rFonts w:ascii="Times New Roman" w:hAnsi="Times New Roman"/>
          <w:b/>
          <w:color w:val="000000"/>
          <w:sz w:val="20"/>
        </w:rPr>
        <w:t>Item 2. Management’s Discussion and Analysis of Financial Condition and Results of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consolidated financial statements and related notes included elsewhere in this Quarterly Report on Form 10-Q and our audited consolidated financial statements and related footnotes included in our Annual Report on Form 10-K for the year ended December 31, 2025. This discussion and other parts of this Quarterly Report on Form 10-Q contain forward-looking statements that involve risks and uncertainties, such as our plans, objectives, expectations, intentions and beliefs. Our actual results could differ materially from those discussed in these forward-looking statements. Factors that could cause or contribute to such differences include, but are not limited to, those identified below and those discussed in the section entitled “Risk Factors” included elsewhere in this Quarterly Report on Form 10-Q, as supplemented by our subsequent filings with the SEC.</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clinical stage biotechnology company discovering and developing allogeneic gamma delta T cell therapies for autoimmune diseases and cancer. We are advancing a pipeline of “off-the-shelf” gamma delta T cells, engineered with chimeric antigen receptors (CARs), to facilitate durable activity in patients.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approach to activate, engineer and manufacture allogeneic gamma delta T cell product candidates derived from the peripheral blood cells of unrelated donors allows us to generate new product candidates in a rapid and cost-efficient manner. Our allogeneic "off-the-shelf" manufacturing process is designed to allow product from unrelated donors to be stored and sold on demand to treat patients without inducing a graft versus host immune response. This is in contrast to products based on alpha beta T cells, which either must be manufactured for each patient from his or her own T cells, or require significant gene editing to manufacture if the T cells are derived from donors that are unrelated to the patient.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lead product candidate, prula-cel, a first-in-class allogeneic gamma delta T cell therapy expressing a CAR targeting CD20, is being developed for the potential treatment of autoimmune diseases. We are also pursuing ADI-212, a next-generation gene-edited and armored clinical candidate designed to target prostate-specific membrane antigen (PSMA). ADI-212 is engineered to express a novel CAR binder designed to support enhanced tolerability and tumor-specific recognition. It integrates membrane-tethered IL-12 armoring and CRISPR/Cas9 mediated disruption of subunit 12 of the mediator complex (MED12) to enhance potency in solid tumors and to deliver multiple anti-tumor mechanisms of action to the tumor microenvironment. We aim to submit a new regulatory submission, such as an Investigational New Drug (IND) application or equivalent every 12-18 months.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Prula-cel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advancing patient enrollment in our Phase 1 program of prula-cel across multiple autoimmune diseases. In December 2023, the U.S. Food and Drug Administration (FDA) cleared our IND application for prula-cel in lupus nephritis (LN) and has subsequently authorized the evaluation of prula-cel in systemic lupus erythematosus (SLE), systemic sclerosis (SSc), anti-neutrophil cytoplasmic autoantibody associated vasculitis (AAV), idiopathic inflammatory myopathies (IIM) and stiff person syndrome (SPS) within the Company’s Phase 1 clinical trial. In November 2025, we reached alignment with the FDA to allow LN and SLE patients to be dosed with prula-cel in the outpatient setting in ongoing and future clinical trials. Prula-cel has received Fast Track Designation by the FDA for the potential treatment of relapsed/refractory class III or class IV LN, refractory SLE with extrarenal involvement and for SSc.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the favorable safety profile, cellular kinetics and B cell depletion in peripheral blood and secondary lymphoid tissue demonstrated with prula-cel clinical experience to date is favorable for development in autoimmune diseases. We believe the potential market opportunity for prula-cel in B cell mediated autoimmune diseases is substantial based on the prevalence in the U.S., EU5, China and Japan of greater than 1.7 million patients with autoimmune diseases where CAR-T cell therapy has demonstrated clinical proof-of-concept, including SLE (which includes LN), SSc, IIM and SPS.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October 2025, we announced positive preliminary results from seven SLE and LN patients dosed in our ongoing Phase 1 trial of prula-cel in autoimmune diseases as of the August 31, 2025 data cut-off date. We plan to provide a comprehensive clinical update for this trial in LN and SLE patients in the third quarter of 2026, including data from 22 patients with LN and SLE (16 LN/ 6 SLE), with a minimum of six months follow-up, including 13 patients with at least 12 months of follow-up. Based on recent interactions with the FDA, we are advancing a potential pivotal trial design in LN and supporting planned start-up activities for a pivotal program anticipated to commence in the second half of 2026, subject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regulatory clearance. The Company plans to provide more details on the potential pivotal trial design in the third quarter of 2026. In addition, in the second half of 2026 we expect to report data evaluating prula-cel in patients with SSc.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advancing a Phase 1 trial of prula-cel in patients with treatment-refractory rheumatoid arthritis (RA). The study is evaluating prula-cel using two conditioning regimens: cyclophosphamide alone and cyclophosphamide with fludarabine, to explore the potential to reduce the need for conditioning. We plan to provide a clinical update on this trial in the second half of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ADI-212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advancing ADI-212, a next-generation gene-edited and armored clinical candidate designed to target prostate-specific membrane antigen. ADI-212 is engineered to express a novel CAR binder designed to support enhanced tolerability and tumor-specific recognition. It integrates membrane-tethered IL-12 (mbIL-12) armoring and CRISPR/Cas9 mediated disruption of subunit 12 of the mediator complex (MED12) to enhance potency in solid tumors and deliver multiple anti-tumor mechanisms of action within the tumor microenvironment. We expect to submit a regulatory filing for a clinical trial of ADI-212 for the treatment of metastatic castration-resistant prostate cancer (mCRPC) in the third quarter of 2026. Subject to regulatory clearance to proceed with a clinical trial, we plan to initiate patient enrollment in the fourth quarter of 2026. We believe the potential market opportunity for ADI-212 in mCRPC is significant based on the prevalence in the U.S., EU5, China and Japan of approximately 75,000 patients with second or third line advanced disease.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 Vivo CAR-T Program and Pipeline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developing a differentiated in vivo CAR-T platform and pipeline targeting hematologic malignancies and solid tumors. A comprehensive update on the platform and pipeline is anticipated in the second half of 2026.</w:t>
      </w:r>
    </w:p>
    <w:p>
      <w:pPr>
        <w:pStyle w:val="TextBody"/>
        <w:bidi w:val="0"/>
        <w:spacing w:before="240" w:after="283"/>
        <w:jc w:val="left"/>
        <w:rPr>
          <w:rFonts w:ascii="Times New Roman" w:hAnsi="Times New Roman"/>
          <w:sz w:val="20"/>
        </w:rPr>
      </w:pPr>
      <w:r>
        <w:rPr>
          <w:rFonts w:ascii="Times New Roman" w:hAnsi="Times New Roman"/>
          <w:b/>
          <w:color w:val="000000"/>
          <w:sz w:val="20"/>
        </w:rPr>
        <w:t>Financial Operations Overview</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no products approved for commercial sale and do not expect to generate revenue from product sales unless and until we successfully complete development and obtain regulatory approval for our product candidates, which we expect will not be for at least several years, if ever.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Expenses</w:t>
      </w:r>
    </w:p>
    <w:p>
      <w:pPr>
        <w:pStyle w:val="TextBody"/>
        <w:bidi w:val="0"/>
        <w:spacing w:before="240" w:after="283"/>
        <w:jc w:val="left"/>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which consist primarily of costs incurred in connection with the development of our product candidates, are expensed as incurred. Research and development expenses consist primarily of: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employee related costs, including salaries, benefits and stock-based compensation expenses for research and development employees;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incurred under agreements with consultants, contract development and manufacturing organizations (CDMOs) and contract research organizations (CROs);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lab materials, supplies and maintenance of equipment used for research and development activities;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allocated facility-related costs, such as rent, utilities, insurance, repairs and maintenance, depreciation and amortization, information technology costs and general support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allocate our external costs by product candidate. We do not allocate our internal costs by product candidate as a significant amount of internal research and development expenses are not tracked by product candidate, and we believe the allocation of such costs would be arbitrary and would not provide a meaningful assessment as we have used our employee and infrastructure resources across multiple product candidate research and development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focusing substantially all of our resources on the development of our product candidates. At this time, we cannot reasonably estimate or know the nature, timing and estimated costs of the efforts that will be necessary to complete the development of our product candidates. We are also unable to predict when, if ever, material net cash inflows will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commence from sales of our product candidates. The duration, costs, and timing of clinical trials and development of our product candidates will depend on a variety of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rate of progress and expense of clinical trials and other research and development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trial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uncertainties in clinical trial enrollment rate or design;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significant and changing government regulation;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and receipt of any regulatory approvals;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FDA’s or other regulatory authority’s influence on clinical trial design;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establishing commercial manufacturing capabilities or making arrangements with third-party manufacturers;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expenses incurred in connection with our license and collaboration agreements, including license payments, program expenses and milestone obligations payable by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commercializing product candidates, if and when approved, whether alone or in collaboration with others;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obtaining and maintaining patent and trade secret protection and regulatory exclusivity for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continued applicable safety profiles of the products following approval;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retention of key research and development personnel.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Adequate funding may not be available to us on acceptable terms or at all. Our failure to raise capital as and when needed could have a negative impact on our financial condition and our ability to pursue our business strategies. If we are unable to raise additional funds when needed, we may be required to delay, reduce or terminate some or all of our development programs and clinical trials or we may also be required to sell or license to other rights to our product candidates in certain territories or indications that we would prefer to develop and commercialize ourselves. If we are required to enter into collaborations and other arrangements to supplement our funds, we may have to give up certain rights that limit our ability to develop and commercialize our product candidates or may have other terms that are not favorable to us or our stockholders, which could materially affect our business and financial condition.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General and Administrative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expenses consist principally of payroll and personnel expenses, including salaries and bonuses, benefits and stock-based compensation expenses, professional fees for legal, consulting, accounting and tax services, allocated overhead expenses, including rent, equipment, depreciation, information technology costs and utilities, and other general operating expenses not otherwise classified as research and development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anticipate that our general and administrative expenses will increase for the foreseeable future due to expenses related to operating as a public company, including expenses related to personnel costs, expanded infrastructure and higher consulting, legal and accounting services costs associated with complying with the applicable Nasdaq and SEC requirements, investor relations costs and director and officer insurance premiums.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income consists primarily of interest earned on our cash, cash equivalents, restricted cash and short-term investments in treasury securities.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Interest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expense consists primarily of interest on finance lease liabilities.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Other Expense,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expense, net primarily consists of state franchise and capital taxes not related to income.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the Three Months Ended June 30, 2026 and 2025</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summarizes our results of operations for the periods indicated (in thousands, except percentages):</w:t>
      </w:r>
    </w:p>
    <w:tbl>
      <w:tblPr>
        <w:tblW w:w="7572" w:type="dxa"/>
        <w:jc w:val="left"/>
        <w:tblInd w:w="0" w:type="dxa"/>
        <w:tblLayout w:type="fixed"/>
        <w:tblCellMar>
          <w:top w:w="28" w:type="dxa"/>
          <w:left w:w="28" w:type="dxa"/>
          <w:bottom w:w="28" w:type="dxa"/>
          <w:right w:w="28" w:type="dxa"/>
        </w:tblCellMar>
      </w:tblPr>
      <w:tblGrid>
        <w:gridCol w:w="2296"/>
        <w:gridCol w:w="146"/>
        <w:gridCol w:w="214"/>
        <w:gridCol w:w="724"/>
        <w:gridCol w:w="181"/>
        <w:gridCol w:w="160"/>
        <w:gridCol w:w="214"/>
        <w:gridCol w:w="724"/>
        <w:gridCol w:w="166"/>
        <w:gridCol w:w="146"/>
        <w:gridCol w:w="196"/>
        <w:gridCol w:w="661"/>
        <w:gridCol w:w="166"/>
        <w:gridCol w:w="146"/>
        <w:gridCol w:w="258"/>
        <w:gridCol w:w="613"/>
        <w:gridCol w:w="56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18,450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5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22,301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(22,301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before income tax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(21,215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(21,358</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5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Research and development</w:t>
      </w:r>
    </w:p>
    <w:tbl>
      <w:tblPr>
        <w:tblW w:w="7759" w:type="dxa"/>
        <w:jc w:val="left"/>
        <w:tblInd w:w="0" w:type="dxa"/>
        <w:tblLayout w:type="fixed"/>
        <w:tblCellMar>
          <w:top w:w="28" w:type="dxa"/>
          <w:left w:w="28" w:type="dxa"/>
          <w:bottom w:w="28" w:type="dxa"/>
          <w:right w:w="28" w:type="dxa"/>
        </w:tblCellMar>
      </w:tblPr>
      <w:tblGrid>
        <w:gridCol w:w="5206"/>
        <w:gridCol w:w="146"/>
        <w:gridCol w:w="226"/>
        <w:gridCol w:w="726"/>
        <w:gridCol w:w="156"/>
        <w:gridCol w:w="156"/>
        <w:gridCol w:w="226"/>
        <w:gridCol w:w="726"/>
        <w:gridCol w:w="191"/>
      </w:tblGrid>
      <w:tr>
        <w:trPr/>
        <w:tc>
          <w:tcPr>
            <w:tcW w:w="5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Payroll and personnel expenses(1)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6,936</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Costs incurred under agreements with consultants, CDMOs, and CROs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Lab materials, supplies and maintenance of equipment</w:t>
              <w:br/>
              <w:t>used for research and development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2,575</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research and development expenses(2)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4,915</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18,450</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28,424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12"/>
        </w:rPr>
        <w:t xml:space="preserve">(1) </w:t>
      </w:r>
      <w:r>
        <w:rPr>
          <w:rFonts w:ascii="Times New Roman" w:hAnsi="Times New Roman"/>
          <w:color w:val="000000"/>
          <w:sz w:val="18"/>
        </w:rPr>
        <w:t>Employee related costs, including salaries, benefits, bonuses, and stock-based compensation expenses for research and development employees.</w:t>
      </w:r>
    </w:p>
    <w:p>
      <w:pPr>
        <w:pStyle w:val="TextBody"/>
        <w:bidi w:val="0"/>
        <w:spacing w:before="120" w:after="283"/>
        <w:jc w:val="left"/>
        <w:rPr>
          <w:rFonts w:ascii="Times New Roman" w:hAnsi="Times New Roman"/>
          <w:sz w:val="20"/>
        </w:rPr>
      </w:pPr>
      <w:r>
        <w:rPr>
          <w:rFonts w:ascii="Times New Roman" w:hAnsi="Times New Roman"/>
          <w:color w:val="000000"/>
          <w:sz w:val="12"/>
        </w:rPr>
        <w:t xml:space="preserve">(2) </w:t>
      </w:r>
      <w:r>
        <w:rPr>
          <w:rFonts w:ascii="Times New Roman" w:hAnsi="Times New Roman"/>
          <w:color w:val="000000"/>
          <w:sz w:val="18"/>
        </w:rPr>
        <w:t>Professional fees and allocated facility-related costs, such as rent, utilities, insurance, repairs and maintenance, depreciation and amortization, information technology costs and general support services.</w:t>
        <w:br/>
      </w:r>
      <w:r>
        <w:rPr>
          <w:rFonts w:ascii="Times New Roman" w:hAnsi="Times New Roman"/>
          <w:color w:val="000000"/>
          <w:sz w:val="20"/>
        </w:rPr>
        <w:t> </w:t>
      </w:r>
    </w:p>
    <w:p>
      <w:pPr>
        <w:pStyle w:val="TextBody"/>
        <w:bidi w:val="0"/>
        <w:jc w:val="left"/>
        <w:rPr>
          <w:rFonts w:ascii="Times New Roman" w:hAnsi="Times New Roman"/>
          <w:color w:val="000000"/>
          <w:sz w:val="20"/>
        </w:rPr>
      </w:pPr>
      <w:r>
        <w:rPr>
          <w:rFonts w:ascii="Times New Roman" w:hAnsi="Times New Roman"/>
          <w:color w:val="000000"/>
          <w:sz w:val="20"/>
        </w:rPr>
        <w:t>Research and development expenses decreased by $10.0 million, or 35%, during the three months ended June 30, 2026 as compared to the same period in 2025. The decrease in research and development expenses was primarily due to a $4.0 million decrease related to lower CRO expenses due to no new enrollment of patients, a $2.8 million decrease in payroll and personnel expenses due to lower headcount, a $2.3 million decrease in allocated facility-related expenses, a $0.8 million decrease in expenses related to lab supplies and materials, and a $0.1 million decrease in professional fees.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General and administrative</w:t>
      </w:r>
    </w:p>
    <w:p>
      <w:pPr>
        <w:pStyle w:val="TextBody"/>
        <w:bidi w:val="0"/>
        <w:jc w:val="left"/>
        <w:rPr>
          <w:rFonts w:ascii="Times New Roman" w:hAnsi="Times New Roman"/>
          <w:color w:val="000000"/>
          <w:sz w:val="20"/>
        </w:rPr>
      </w:pPr>
      <w:r>
        <w:rPr>
          <w:rFonts w:ascii="Times New Roman" w:hAnsi="Times New Roman"/>
          <w:color w:val="000000"/>
          <w:sz w:val="20"/>
        </w:rPr>
        <w:t>General and administrative expenses decreased by $0.1 million, or 3%, during the three months ended June 30, 2026 as compared to the same period in 2025. The decrease in general and administrative expenses was due to a decrease in payroll and personnel related expenses of $0.9 million primarily related to a decrease in stock-based compensation and lower headcount and a $0.4 million decrease in professional fees. The decrease was partially offset by a $1.2 million increase in allocated facility-related expenses.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income decreased by $0.2 million, or 16% during the three months ended June 30, 2026 as compared to the same period in 2025, which was primarily due to lower interest rates and lower cash balances for the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Other expense, net</w:t>
      </w:r>
    </w:p>
    <w:p>
      <w:pPr>
        <w:pStyle w:val="TextBody"/>
        <w:bidi w:val="0"/>
        <w:jc w:val="left"/>
        <w:rPr>
          <w:rFonts w:ascii="Times New Roman" w:hAnsi="Times New Roman"/>
          <w:color w:val="000000"/>
          <w:sz w:val="20"/>
        </w:rPr>
      </w:pPr>
      <w:r>
        <w:rPr>
          <w:rFonts w:ascii="Times New Roman" w:hAnsi="Times New Roman"/>
          <w:color w:val="000000"/>
          <w:sz w:val="20"/>
        </w:rPr>
        <w:t>Other expense, net decreased by $0.2 million, or 73%, during the three months ended June 30, 2026 as compared to the same period in 2025. This was due to a decrease in state franchise taxes and losses from disposals of property and equipment recognized in 2025.</w:t>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the Six Months Ended June 30, 2026 and 2025</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summarizes our results of operations for the periods indicated (in thousands, except percentages):</w:t>
      </w:r>
    </w:p>
    <w:tbl>
      <w:tblPr>
        <w:tblW w:w="7423" w:type="dxa"/>
        <w:jc w:val="left"/>
        <w:tblInd w:w="0" w:type="dxa"/>
        <w:tblLayout w:type="fixed"/>
        <w:tblCellMar>
          <w:top w:w="28" w:type="dxa"/>
          <w:left w:w="28" w:type="dxa"/>
          <w:bottom w:w="28" w:type="dxa"/>
          <w:right w:w="28" w:type="dxa"/>
        </w:tblCellMar>
      </w:tblPr>
      <w:tblGrid>
        <w:gridCol w:w="2296"/>
        <w:gridCol w:w="146"/>
        <w:gridCol w:w="200"/>
        <w:gridCol w:w="675"/>
        <w:gridCol w:w="169"/>
        <w:gridCol w:w="149"/>
        <w:gridCol w:w="200"/>
        <w:gridCol w:w="675"/>
        <w:gridCol w:w="166"/>
        <w:gridCol w:w="146"/>
        <w:gridCol w:w="196"/>
        <w:gridCol w:w="661"/>
        <w:gridCol w:w="166"/>
        <w:gridCol w:w="146"/>
        <w:gridCol w:w="258"/>
        <w:gridCol w:w="613"/>
        <w:gridCol w:w="56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35,938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51,238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7,933</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5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43,871</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62,277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(43,871</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(62,277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before income tax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(41,459</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(41,602</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5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Research and development</w:t>
      </w:r>
    </w:p>
    <w:tbl>
      <w:tblPr>
        <w:tblW w:w="7611" w:type="dxa"/>
        <w:jc w:val="left"/>
        <w:tblInd w:w="0" w:type="dxa"/>
        <w:tblLayout w:type="fixed"/>
        <w:tblCellMar>
          <w:top w:w="28" w:type="dxa"/>
          <w:left w:w="28" w:type="dxa"/>
          <w:bottom w:w="28" w:type="dxa"/>
          <w:right w:w="28" w:type="dxa"/>
        </w:tblCellMar>
      </w:tblPr>
      <w:tblGrid>
        <w:gridCol w:w="5206"/>
        <w:gridCol w:w="146"/>
        <w:gridCol w:w="211"/>
        <w:gridCol w:w="677"/>
        <w:gridCol w:w="146"/>
        <w:gridCol w:w="146"/>
        <w:gridCol w:w="211"/>
        <w:gridCol w:w="677"/>
        <w:gridCol w:w="191"/>
      </w:tblGrid>
      <w:tr>
        <w:trPr/>
        <w:tc>
          <w:tcPr>
            <w:tcW w:w="5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Payroll and personnel expenses(1)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Costs incurred under agreements with consultants, CDMOs, and CROs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Lab materials, supplies and maintenance of equipment</w:t>
              <w:br/>
              <w:t>used for research and development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research and development expenses(2)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51,238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12"/>
        </w:rPr>
        <w:t xml:space="preserve">(1) </w:t>
      </w:r>
      <w:r>
        <w:rPr>
          <w:rFonts w:ascii="Times New Roman" w:hAnsi="Times New Roman"/>
          <w:color w:val="000000"/>
          <w:sz w:val="18"/>
        </w:rPr>
        <w:t>Employee related costs, including salaries, benefits, bonuses, and stock-based compensation expenses for research and development employees.</w:t>
      </w:r>
    </w:p>
    <w:p>
      <w:pPr>
        <w:pStyle w:val="TextBody"/>
        <w:bidi w:val="0"/>
        <w:spacing w:before="120" w:after="283"/>
        <w:jc w:val="left"/>
        <w:rPr>
          <w:rFonts w:ascii="Times New Roman" w:hAnsi="Times New Roman"/>
          <w:sz w:val="20"/>
        </w:rPr>
      </w:pPr>
      <w:r>
        <w:rPr>
          <w:rFonts w:ascii="Times New Roman" w:hAnsi="Times New Roman"/>
          <w:color w:val="000000"/>
          <w:sz w:val="12"/>
        </w:rPr>
        <w:t xml:space="preserve">(2) </w:t>
      </w:r>
      <w:r>
        <w:rPr>
          <w:rFonts w:ascii="Times New Roman" w:hAnsi="Times New Roman"/>
          <w:color w:val="000000"/>
          <w:sz w:val="18"/>
        </w:rPr>
        <w:t>Professional fees and allocated facility-related costs, such as rent, utilities, insurance, repairs and maintenance, depreciation and amortization, information technology costs and general support services.</w:t>
        <w:br/>
      </w:r>
      <w:r>
        <w:rPr>
          <w:rFonts w:ascii="Times New Roman" w:hAnsi="Times New Roman"/>
          <w:color w:val="000000"/>
          <w:sz w:val="20"/>
        </w:rPr>
        <w:t> </w:t>
      </w:r>
    </w:p>
    <w:p>
      <w:pPr>
        <w:pStyle w:val="TextBody"/>
        <w:bidi w:val="0"/>
        <w:jc w:val="left"/>
        <w:rPr>
          <w:rFonts w:ascii="Times New Roman" w:hAnsi="Times New Roman"/>
          <w:color w:val="000000"/>
          <w:sz w:val="20"/>
        </w:rPr>
      </w:pPr>
      <w:r>
        <w:rPr>
          <w:rFonts w:ascii="Times New Roman" w:hAnsi="Times New Roman"/>
          <w:color w:val="000000"/>
          <w:sz w:val="20"/>
        </w:rPr>
        <w:t>Research and development expenses decreased by $15.3 million, or 30%, during the six months ended June 30, 2026 as compared to the same period in 2025. The decrease in research and development expenses was primarily due to a $6.5 million decrease in payroll and personnel expenses due to lower headcount, a $4.5 million decrease related to lower CRO expenses due to no new enrollment of patients, a $2.2 million decrease in expenses related to lab supplies and materials and a $2.4 million decrease in allocated facility-related expenses. The decrease was partially offset by a $0.3 million increase in professional fees.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General and administrative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expenses decreased by $3.1 million, or 28%, during the six months ended June 30, 2026 as compared to the same period in 2025. The decrease in general and administrative expenses was due to a decrease in payroll and personnel related expenses of $2.3 million primarily related to a decrease in stock-based compensation and lower headcount and a $1.0 million decrease in professional fees. The decrease was partially offset by a $0.2 million increase in allocated facility-related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income decreased by $0.6 million, or 19% during the six months ended June 30, 2026 as compared to the same period in 2025, which was primarily due to lower interest rates and lower cash balances for the period.</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Other expense, net</w:t>
      </w:r>
    </w:p>
    <w:p>
      <w:pPr>
        <w:pStyle w:val="TextBody"/>
        <w:bidi w:val="0"/>
        <w:jc w:val="left"/>
        <w:rPr>
          <w:rFonts w:ascii="Times New Roman" w:hAnsi="Times New Roman"/>
          <w:color w:val="000000"/>
          <w:sz w:val="20"/>
        </w:rPr>
      </w:pPr>
      <w:r>
        <w:rPr>
          <w:rFonts w:ascii="Times New Roman" w:hAnsi="Times New Roman"/>
          <w:color w:val="000000"/>
          <w:sz w:val="20"/>
        </w:rPr>
        <w:t>Other expense, net decreased by $0.2 million, or 77%, during the six months ended June 30, 2026 as compared to the same period in 2025. This was due to losses from disposals of property and equipment recognized in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historically funded our operations primarily through a collaboration and licensing arrangement, public and private placements of equity securities and debt, and cash received in our merger with resTORbio,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2024, we raised aggregate net proceeds of approximately $19.3 million through the JonesTrading ATM Program. In March 2024, we terminated the JonesTrading ATM Program and entered into the Jefferies ATM Program. As of June 30, 2026, no shares of common stock have been sold through the Jefferies ATM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22, 2024, we entered into an underwriting agreement (the Underwriting Agreement) with Jefferies LLC (Jefferies) and Guggenheim Securities, LLC (Guggenheim), as representatives of the underwriters, related to an underwritten public offering (the Offering) of shares of our common stock and, in lieu of common stock to certain investors, pre-funded warrants to purchase shares of our common stock. We received net proceeds from the Offering, after deducting the underwriting discount and commissions and other estimated offering expenses, of approximately $91.7 million. We may receive nominal proceeds, if any, from the exercise of the pre-funded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October 7, 2025, we entered into an underwriting agreement with Jefferies and Guggenheim, as representatives of the underwriters, related to an underwritten registered direct offering (the 2025 Offering) of shares of our common stock, and, in lieu of our common stock to an investor, pre-funded warrants to purchase shares of our common stock. We received net proceeds from the 2025 Offering, after deducting the underwriting discount and commissions and other estimated offering expenses, of approximately $74.8 million. We may receive nominal proceeds, if any, from the exercise of the 2025 Pre-Funded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we had cash, cash equivalents and short-term investments of $118.2 million and restricted cash of $2.9 million held in cash collateral accounts. We expect that our cash, cash equivalents and short-term investments will be sufficient to fund our forecasted operating expenses, capital expenditure requirements and debt service payments for at least the next twelve months from the issuance of our unaudited consolidated financial statements included in this Quarterly Report on Form 10-Q.</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Future Funding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incurred losses since inception and have incurred losses of $41.6 million and $59.4 million for the six months ended June 30, 2026 and 2025, respectively. As of June 30, 2026, we had an accumulated deficit of $656.3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June 30, 2026, we had cash, cash equivalents, and short-term investments in treasury securities of $118.2 million. We believe that our cash, cash equivalents and short-term investments in treasury securities will be sufficient for us to fund our operations for at least twelve months from the issuance date of our unaudited consolidated financial statements included elsewhere in this Quarterly Report on Form 10-Q. We have based these estimates on assumptions that may prove to be wrong, and we could deplete our available capital resources sooner than we expect. Because of the risks and uncertainties associated with research, development, and commercialization of product candidates, we are unable to estimate the exact amount of our working capital requirements.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All of our revenue to date has been generated from a collaboration and license agreement (the Regeneron Agreement) with Regeneron Pharmaceuticals, Inc, (Regeneron). We do not expect to generate any significant product revenue until we obtain regulatory approval of and commercialize any of our product candidates or enter into additional collaborative agreements with third parties, and we do not know when, or if, either will occur. We expect to continue to incur significant losses for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foreseeable future, and we expect the losses to increase as we continue the development of, and seek regulatory approvals for, our product candidates and begin to commercialize any approved products. We are subject to all of the risks typically related to the development of new product candidates, and we may encounter unforeseen expenses, difficulties, complications, delays and other unknown factors that may adversely affect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will continue to require additional capital to develop our product candidates and fund operations for the foreseeable future. We may seek to raise capital through private or public equity or debt financings, collaborative or other arrangements with corporate sources, or through other sources of financing. We anticipate that we will need to raise substantial additional capital, the requirements for which will depend on many factors, including:</w:t>
      </w:r>
    </w:p>
    <w:p>
      <w:pPr>
        <w:pStyle w:val="TextBody"/>
        <w:bidi w:val="0"/>
        <w:jc w:val="both"/>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timing, rate of progress and costs of our drug discovery efforts, preclinical development activities, laboratory testing and clinical trials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number and scope of clinical programs we decide to pursue;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timing and outcome of preparing for and undergoing regulatory review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and costs of development and commercial manufacturing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and timing associated with commercializing our product candidates, if they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to which we acquire or in-license other product candidates and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preparing, filing and prosecuting patent applications, maintaining and enforcing our intellectual property rights and defending intellectual property-related claims;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establish and maintain collaborations on favorable terms, if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efforts to enhance operational systems and our ability to attract, hire and retain qualified personnel, including personnel to support the development of our product candidates and, ultimately, the sale of our products, following FDA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implementation of operational, financial and management systems;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potential health emergencies on United States and global economic conditions that may impact our ability to access capital on terms anticipated, or at all;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post-merger costs associated with being a public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Adequate funding may not be available to us on acceptable terms or at all.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failure to raise capital as and when needed could have a negative impact on our financial condition and our ability to pursue our business strategies. If we are unable to raise additional funds when needed, we may be required to delay, reduce, or terminate some or all of our development programs and clinical trials or we may also be required to sell or license to other rights to our product candidates in certain territories or indications that we would prefer to develop and commercialize ourselves. If we are required to enter into collaborations and other arrangements to supplement our funds, we may have to give up certain rights that limit our ability to develop and commercialize our product candidates or may have other terms that are not favorable to us or our stockholders, which could materially affect our business and financial condition.</w:t>
      </w:r>
    </w:p>
    <w:p>
      <w:pPr>
        <w:pStyle w:val="TextBody"/>
        <w:bidi w:val="0"/>
        <w:spacing w:before="240" w:after="283"/>
        <w:jc w:val="left"/>
        <w:rPr>
          <w:rFonts w:ascii="Times New Roman" w:hAnsi="Times New Roman"/>
          <w:sz w:val="20"/>
        </w:rPr>
      </w:pPr>
      <w:r>
        <w:rPr>
          <w:rFonts w:ascii="Times New Roman" w:hAnsi="Times New Roman"/>
          <w:color w:val="000000"/>
          <w:sz w:val="20"/>
        </w:rPr>
        <w:t>See the section of this Quarterly Report on Form 10-Q titled “</w:t>
      </w:r>
      <w:r>
        <w:rPr>
          <w:rFonts w:ascii="Times New Roman" w:hAnsi="Times New Roman"/>
          <w:i/>
          <w:color w:val="000000"/>
          <w:sz w:val="20"/>
        </w:rPr>
        <w:t>Risk Factors</w:t>
      </w:r>
      <w:r>
        <w:rPr>
          <w:rFonts w:ascii="Times New Roman" w:hAnsi="Times New Roman"/>
          <w:color w:val="000000"/>
          <w:sz w:val="20"/>
        </w:rPr>
        <w:t>” for additional risks associated with our substantial capital requirements.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Summary Statement of Cash Flows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sets forth the primary sources and uses of our cash and cash equivalents for each of the periods presented below (in thousands):</w:t>
      </w:r>
    </w:p>
    <w:tbl>
      <w:tblPr>
        <w:tblW w:w="6781" w:type="dxa"/>
        <w:jc w:val="left"/>
        <w:tblInd w:w="0" w:type="dxa"/>
        <w:tblLayout w:type="fixed"/>
        <w:tblCellMar>
          <w:top w:w="28" w:type="dxa"/>
          <w:left w:w="28" w:type="dxa"/>
          <w:bottom w:w="28" w:type="dxa"/>
          <w:right w:w="28" w:type="dxa"/>
        </w:tblCellMar>
      </w:tblPr>
      <w:tblGrid>
        <w:gridCol w:w="4156"/>
        <w:gridCol w:w="146"/>
        <w:gridCol w:w="200"/>
        <w:gridCol w:w="675"/>
        <w:gridCol w:w="169"/>
        <w:gridCol w:w="149"/>
        <w:gridCol w:w="200"/>
        <w:gridCol w:w="675"/>
        <w:gridCol w:w="41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(41,313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(52,030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35,530</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30,092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(5,790</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(21,775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 from Operating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operating activities was $41.3 million for the six months ended June 30, 2026. Cash used in operating activities consisted of net loss partially offset by non-cash adjustments of $5.4 million, and a net decrease in operating assets and liabilities of $5.1 million. Non-cash items primarily included depreciation and amortization of $2.5 million, stock-based compensation expense of $2.7 million, non-cash lease expense of $1.5 million and a net amortization of premiums and accretion discounts on investments of $1.4 million. The net change in assets and liabilities was primarily due to a decrease in accounts payable of $1.1 million, a net decrease in accrued and other current and non-current liabilities of $1.9 million, a decrease in operating lease liability of $1.9 million, a decrease in prepaid expenses of $0.2 million and a decrease in other current assets of less than $0.1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cash used in operating activities was $52.0 million for the six months ended June 30, 2025. Cash used in operating activities consisted of net loss offset by non-cash adjustments of $50.4 million, and a net decrease in operating assets and liabilities of $1.6 million. Non-cash items primarily included depreciation and amortization of $3.3 million, stock-based compensation expense of $6.1 million, and non-cash lease expense of $1.7 million. The net change in assets and liabilities was primarily due to a net decrease in accrued and other current and non-current liabilities of $0.6 million and a decrease in operating lease liability of $1.9 million, offset by an increase in prepaid expenses and other current assets of $1.1 million.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 from Investing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investing activities was $35.5 million for the six months ended June 30, 2026, which consisted of $80.0 million related to maturities of short-term treasury securities, net of $44.2 million of purchases of short-term treasury securities and $0.2 million of purchases of lab equipment and leasehold improvements for our Good Manufacturing Practice (GMP) cell processing suite at 1000 Bridge Parkway.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cash provided by investing activities was $30.1 million for the six months ended June 30, 2025, which consisted of $34.4 million of purchases of short-term treasury securities and $1.5 million of purchases of lab equipment and leasehold improvements for our Good Manufacturing Practice (GMP) cell processing suite at 1000 Bridge Parkway. We received $66.0 million related to the maturities of short-term treasury securities.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 from Financing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by financing activities was less than $0.1 million for the six months ended June 30, 2026, which was primarily related to net proceeds from the issuance of common stock in connection with our employee stock purchase plan. This was partially offset by cash paid for taxes withheld on the net share settlement of equity awards and issuance costs related to exchange of common stock for pre-funded warrant.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financing activities was $0.2 million for the six months ended June 30, 2025, which was primarily related to net proceeds from the issuance of common stock in connection with our employee stock purchase plan. This was partially offset by cash paid for taxes withheld on the net share settlement of equity awards.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Critical Accounting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management’s discussion and analysis of our financial condition and results of operations is based upon our consolidated financial statements prepared in accordance with U.S. GAAP. The preparation of these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requires us to make certain estimates and assumptions that affect the reported amounts of assets and liabilities, the reported amounts of revenues and expenses during the reported periods and related disclosures. These estimates and assumptions, including those related to accruals for CDMO, CRO and research and development expenses, and equity-based compensation are monitored and analyzed by us for changes in facts and circumstances, and material changes in these estimates could occur in the future. These critical estimates and assumptions are based on our historical experience, our observance of trends in the industry, and various other factors that are believed to be reasonable under the circumstances and form the basis for making judgments about the carrying values of assets and liabilities that are not readily apparent from other sources. Actual results may differ from our estimates under different assumptions or conditions. A summary of our significant accounting policies is contained in Note 2 of our unaudited consolidated financial statements included elsewhere in this Quarterly Report on Form 10-Q. There have been no material changes in our critical accounting policies from those disclosed in our Annual Report on Form 10-K for the year ended December 31, 2025 filed with the SEC on March 12,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Smaller Reporting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 “smaller reporting company” as defined in the Exchange Act. As a smaller reporting company, we may take advantage of specified reduced disclosure and other requirements that are otherwise applicable, in general, to public companies that are not smaller reporting companies. These provisions include (i) not being required to comply with the auditor attestation requirements of Section 404(b) of the Sarbanes Oxley Act of 2002, as amended; (ii) scaled executive compensation disclosures; and (iii) the option to provide only two years of audited financial statements, instead of three years.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will continue to be a smaller reporting company for as long as we continue to have (i) less than $250 million in market value of our shares held by non-affiliates as of the last business day of our second fiscal quarter or (ii) less than $100 million of annual revenues in our most recent fiscal year completed before the last business day of our second fiscal quarter and a market value of our shares held by non-affiliates of less than $700 million as of the last business day of our second fiscal quarter.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choose to take advantage of some but not all of these exemptions. Accordingly, the information contained herein may be different from the information you receive from other public companies in which you hold stock. We have elected to avail ourselves of the exemption for the delayed adoption of certain accounting standards and, therefore, are not subject to the same new or revised accounting standards as other public companies that are not smaller reporting companies.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Recently Issued and Adopted Accounting Pronouncements</w:t>
      </w:r>
    </w:p>
    <w:p>
      <w:pPr>
        <w:pStyle w:val="TextBody"/>
        <w:bidi w:val="0"/>
        <w:spacing w:before="240" w:after="283"/>
        <w:jc w:val="left"/>
        <w:rPr>
          <w:rFonts w:ascii="Times New Roman" w:hAnsi="Times New Roman"/>
          <w:sz w:val="20"/>
        </w:rPr>
      </w:pPr>
      <w:r>
        <w:rPr>
          <w:rFonts w:ascii="Times New Roman" w:hAnsi="Times New Roman"/>
          <w:color w:val="000000"/>
          <w:sz w:val="20"/>
        </w:rPr>
        <w:t>See the section titled “</w:t>
      </w:r>
      <w:r>
        <w:rPr>
          <w:rFonts w:ascii="Times New Roman" w:hAnsi="Times New Roman"/>
          <w:i/>
          <w:color w:val="000000"/>
          <w:sz w:val="20"/>
        </w:rPr>
        <w:t>Summary of Significant Accounting Policies”</w:t>
      </w:r>
      <w:r>
        <w:rPr>
          <w:rFonts w:ascii="Times New Roman" w:hAnsi="Times New Roman"/>
          <w:color w:val="000000"/>
          <w:sz w:val="20"/>
        </w:rPr>
        <w:t xml:space="preserve"> in Note 2 to our unaudited consolidated financial statements included elsewhere in this Quarterly Report on Form 10-Q for additional information.</w:t>
      </w:r>
    </w:p>
    <w:p>
      <w:pPr>
        <w:pStyle w:val="TextBody"/>
        <w:bidi w:val="0"/>
        <w:spacing w:before="240" w:after="283"/>
        <w:jc w:val="left"/>
        <w:rPr>
          <w:rFonts w:ascii="Times New Roman" w:hAnsi="Times New Roman"/>
          <w:b/>
          <w:color w:val="000000"/>
          <w:sz w:val="20"/>
        </w:rPr>
      </w:pPr>
      <w:bookmarkStart w:id="11" w:name="item_3_quantitative_qualitative_disclosu"/>
      <w:bookmarkEnd w:id="11"/>
      <w:r>
        <w:rPr>
          <w:rFonts w:ascii="Times New Roman" w:hAnsi="Times New Roman"/>
          <w:b/>
          <w:color w:val="000000"/>
          <w:sz w:val="20"/>
        </w:rPr>
        <w:t>Item 3. Quantitative and Qualitative Disclosures About Market Risk.</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we had cash, cash equivalents and short-term investments in treasury securities of $118.2 million, which consisted of cash and funds invested in treasury securities and money market funds. Interest income is sensitive to general level of interest rates; however, due to the nature of these investments, an immediate 10% change in interest rates would not have a material impact on our cash, cash equivalents and short-term investments in treasury securities, financial position, or results of operations.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Foreign Currency Exchange Risk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headquarters are located in the United States, where a majority of our general and administrative expenses and research and development costs are incurred in U.S. Dollars. As we grow our business, our results of operations and cash flows may be subject to fluctuations due to foreign currency exchange rates. To date, we do not believe foreign currency exchange rate fluctuations have had a significant impact on our results of operations for any periods presented herein.</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Inflation Risk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assets are primarily monetary, consisting of cash, cash equivalents and short-term investments in treasury securities. Because of their liquidity, these assets are not directly affected by inflation. Since we intend to retain and continue to use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equipment, furniture, fixtures and office equipment, computer hardware and software and leasehold improvements, we believe that the incremental inflation related to replacement costs of such items will not materially affect our operations. Inflation generally affects us by increasing our cost of labor, clinical trial and manufacturing costs. We do not believe that inflation had a material effect on our business, financial condition or results of operations during the three months ended June 30, 2026.</w:t>
      </w:r>
    </w:p>
    <w:p>
      <w:pPr>
        <w:pStyle w:val="TextBody"/>
        <w:bidi w:val="0"/>
        <w:spacing w:before="240" w:after="283"/>
        <w:jc w:val="left"/>
        <w:rPr>
          <w:rFonts w:ascii="Times New Roman" w:hAnsi="Times New Roman"/>
          <w:sz w:val="20"/>
        </w:rPr>
      </w:pPr>
      <w:bookmarkStart w:id="12" w:name="item_4_controls_procedures"/>
      <w:bookmarkEnd w:id="12"/>
      <w:r>
        <w:rPr>
          <w:rFonts w:ascii="Times New Roman" w:hAnsi="Times New Roman"/>
          <w:b/>
          <w:color w:val="000000"/>
          <w:sz w:val="20"/>
        </w:rPr>
        <w:t>Item 4. Controls</w:t>
      </w:r>
      <w:bookmarkStart w:id="13" w:name="item_9a_controls_procedures"/>
      <w:bookmarkEnd w:id="13"/>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240" w:after="283"/>
        <w:jc w:val="left"/>
        <w:rPr>
          <w:rFonts w:ascii="Times New Roman" w:hAnsi="Times New Roman"/>
          <w:sz w:val="20"/>
        </w:rPr>
      </w:pPr>
      <w:r>
        <w:rPr>
          <w:rFonts w:ascii="Times New Roman" w:hAnsi="Times New Roman"/>
          <w:b/>
          <w:i/>
          <w:color w:val="000000"/>
          <w:sz w:val="20"/>
        </w:rPr>
        <w:t>Evaluation of Disclosure Controls and Procedures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disclosure controls and procedures (as defined in Rules 13a-15(e) and 15d-15(e) under the Securities Exchange Act of 1934, as amended (the Exchange Act)) are designed to ensure that information required to be disclosed in our reports filed under the Exchange Act, such as this report, is recorded, processed, summarized and reported within the time periods specified in the SEC’s rules and forms. Disclosure controls and procedures are also designed to ensure that such information is accumulated and communicated to our management, including the Chief Executive Officer (CEO) and Chief Financial Officer (CFO), as appropriate to allow timely decisions regarding required disclosure. As of June 30, 2026, our management, with the participation of our principal executive officer and principal financial officer, evaluated the effectiveness of our disclosure controls and procedures (as defined in Rules 13a-15(e) and 15d-15(e) under the Exchange Act) and concluded that our disclosure controls and procedures were effective at the reasonable assurance level.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inherent limitations to the effectiveness of any system of disclosure controls and procedures. These limitations include the possibility of human error, the circumvention or overriding of the controls and procedures and reasonable resource constraints. In addition, because we have designed our system of controls based on certain assumptions, which we believe are reasonable, about the likelihood of future events, our system of controls may not achieve its desired purpose under all possible future conditions. Our disclosure controls and procedures are designed to provide reasonable assurance of achieving their objectives.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change in our internal control over financial reporting (as defined in Rules 13a-15(f) and 15d-15(f) under the Exchange Act) occurred during the quarter ended June 30, 2026 that has materially affected, or is reasonably likely to materially affect, our internal control over financial reporting.</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bookmarkStart w:id="14" w:name="part_iior_information"/>
      <w:bookmarkEnd w:id="14"/>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left"/>
        <w:rPr>
          <w:rFonts w:ascii="Times New Roman" w:hAnsi="Times New Roman"/>
          <w:b/>
          <w:color w:val="000000"/>
          <w:sz w:val="20"/>
        </w:rPr>
      </w:pPr>
      <w:bookmarkStart w:id="15" w:name="item_1_legal_proceedings"/>
      <w:bookmarkEnd w:id="15"/>
      <w:r>
        <w:rPr>
          <w:rFonts w:ascii="Times New Roman" w:hAnsi="Times New Roman"/>
          <w:b/>
          <w:color w:val="000000"/>
          <w:sz w:val="20"/>
        </w:rPr>
        <w:t>Item 1. Legal 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not currently subject to any material legal proceedings. From time to time, we may be subject to various legal proceedings and claims that arise in the ordinary course of our business activities. Although the results of litigation and claims cannot be predicted with certainty, as of the date of this report,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pStyle w:val="TextBody"/>
        <w:bidi w:val="0"/>
        <w:spacing w:before="240" w:after="283"/>
        <w:jc w:val="left"/>
        <w:rPr>
          <w:rFonts w:ascii="Times New Roman" w:hAnsi="Times New Roman"/>
          <w:b/>
          <w:color w:val="000000"/>
          <w:sz w:val="20"/>
        </w:rPr>
      </w:pPr>
      <w:bookmarkStart w:id="16" w:name="item_1a_risk_factors"/>
      <w:bookmarkEnd w:id="16"/>
      <w:r>
        <w:rPr>
          <w:rFonts w:ascii="Times New Roman" w:hAnsi="Times New Roman"/>
          <w:b/>
          <w:color w:val="000000"/>
          <w:sz w:val="20"/>
        </w:rPr>
        <w:t>Item 1A. Risk Factors.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Investing in our common stock involves a high degree of risk. Careful consideration should be given to the following risk factors, in addition to the other information set forth in this Quarterly Report on Form 10-Q for the quarter ended June 30, 2026, our Annual Report on Form 10-K for the year ended December 31, 2025, and in other documents that we file with the U.S. Securities and Exchange Commission (SEC), in evaluating us and our business. If any of the following risks and uncertainties actually occurs, our business, prospects, financial condition and results of operations could be materially and adversely affected. The risks described below are not intended to be exhaustive and are not the only risks facing us. New risk factors can emerge from time to time, and it is not possible to predict the impact that any factor or combination of factors may have on our business, prospects, financial condition and results of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The risk factors denoted with a "*", if any, are newly added or have been materially updated from our Annual Report on Form 10-K for the year ended December 31, 2025.</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Business and Industry</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Risks Related to Operating History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a limited operating history and face significant challenges and expenses as we build our capabilities.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Biopharmaceutical product development is a highly speculative undertaking and involves a substantial degree of risk. We began operations in November 2014. We have a limited operating history upon which someone can evaluate our business and prospects and is subject to the risks inherent in any early stage company, including, among other things, risks that we may not be able to hire sufficient qualified personnel and establish operating controls and procedures. We currently do not have complete in-house resources to enable our gamma delta T cell platform. As we build our own capabilities, we expect to encounter risks and uncertainties frequently experienced by growing companies in new and rapidly evolving fields, including the risks and uncertainties described herein. Consequently, any predictions made about our future success or viability may not be as accurate as they could be if we had a history of successfully developing and commercializing biopharmaceutical products.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incurred net losses since our inception and anticipate that we will incur substantial net losses in the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an early clinical stage biopharmaceutical company. 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and become commercially viable. We have no products approved for commercial sale and have not generated any revenue from product sales to date, and we will continue to incur significant research and development and other expenses related to our ongoing operations. As a result, we are not profitable and have incurred net losses since our inception. To date, we have financed our operations primarily with proceeds from our license and collaboration agreements and the issuance and sale of our capital stock, including most recently net proceeds of approximately $74.8 million, after deducting the underwriting discount and commissions and other estimated offering expenses, from the sale of our common stock and pre-funded warrants in an underwritten registered direct offering in October 2025. For the three months ended June 30, 2026, we recorded net loss of $21.4 million. As of June 30, 2026, we had an accumulated deficit of $656.3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expect to incur significant expenditures for the foreseeable future, and we expect these expenditures to increase as we continue our research and development of, and seek regulatory approvals for, product candidates based on our gamma delta T cell platform, including prula-cel and ADI-212. Even if we succeed in commercializing one or more of our product candidates, we will continue to incur substantial research and development and other expenditures to develop and market additional product candidates. In addition, certain of our existing license and collaboration agreements require cash payments upon the achievement of milestone events, royalties and profit-sharing, or other cash payments. These payment obligations, in addition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to any payment obligations we may have under future arrangements with third parties, may have a substantial impact on our business, financial condition and profitability.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 Further, 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candidates or even continue our operations, any of which could have a material adverse effect on our business, financial condition, results of operations, and prospects and cause investors to lose all or part of their investments.</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Risks Related to Our Product Candidates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business is highly dependent on the success of prula-cel. If we are unable to obtain regulatory approval for prula-cel in one or more indications and effectively commercialize this product candidate for the treatment of patients in indications for which we receive approval (if any), our business would be significantly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business and future success depends on our ability to obtain regulatory approval of, and then successfully commercialize prula-cel, our most advanced product candidate. In November 2024, we dosed our first LN patient in our Phase 1 clinical study of prula-cel in autoimmune diseases and subsequently expanded enrollment to include patients with SLE, SSc, IIM, SPS and AAV. We are also advancing a Phase 1 study of prula-cel in patients with treatment-refractory rheumatoid arthritis (RA).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preclinical results or clinical results to date may not predict results for our planned or ongoing trials or any future studies of prula-cel, ADI-212, or any other product candidates. Because of the lack of evaluation of allogeneic products and gamma delta T cell therapy products in the clinic to date, any such product’s failure, or the failure of other allogeneic T cell therapies or gamma delta T cell therapies, may significantly influence physicians’ and regulators’ opinions in regards to the viability of our entire pipeline of allogeneic T cell therapies, which could have a material adverse effect on our reputation. If our gamma delta T cell therapy is viewed as less safe or effective than autologous therapies or other allogeneic T cell therapies, our ability to develop other allogeneic gamma delta T cell therapies may be significantly harmed.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of our product candidates, including prula-cel and ADI-212, will require additional clinical and non-clinical development, regulatory review and approval in multiple jurisdictions, substantial investment, access to sufficient commercial manufacturing capacity and significant marketing efforts before we can generate any revenue from product sales. In addition, because prula-cel is our most advanced product candidate, and because our other product candidates are based on similar technology, if prula-cel encounters safety or efficacy problems, manufacturing problems, developmental delays, regulatory issues or other problems, our development plans and business would be significantly harmed, which could have a material adverse effect on our business, reputation and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gamma delta T cell candidates represent a novel approach to the treatment of autoimmune diseases and cancer indications that create significant challenges for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developing a pipeline of gamma delta T cell product candidates and a novel antibody platform that are intended for use in patients with certain autoimmune diseases and cancers. Advancing these novel product candidates creates significant challenges for us,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negative or inconclusive results from our clinical trials, preclinical studies or the clinical trials of others for product candidates similar to ours, leading to a decision or requirement to conduct additional clinical trials or preclinical studies or abandon a program;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enrolling or inability to enroll subjects in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manufacturing our product candidates to our specifications and in a timely manner to support our current and future clinical trials, and, if approved, commercialization;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sourcing current and future clinical and, if approved, commercial supplies for the raw materials used to manufacture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understanding and addressing variability in the quality of a donor’s T cells, which could ultimately affect our ability to produce product in a reliable and consistent manner;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inability to achieve efficacy in autoimmune disease and cancer patients following treatment with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achieving a side effect profile from our product candidates in autoimmune diseases and cancer indications that makes them clinically and commercially attractive for further development;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educating medical personnel regarding the potential side effect profile of our product candidates,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using medicines to manage adverse side effects of our product candidates which may not adequately control the side effects and/or may have a detrimental impact on the efficacy of the treatment;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conditioning patients with chemotherapy or other lymphodepletion agents in advance of administering our product candidates, which may increase the risk of adverse side effects;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obtaining regulatory approval, as the FDA and other regulatory authorities have limited experience with development of allogeneic T cell therapies for autoimmune diseases and cancer;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establishing sales and marketing capabilities upon obtaining any regulatory approval to gain market acceptance of a novel therapy.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success of our business, including our ability to obtain financing and generate any revenue in the future, will primarily depend on the positive efficacy and safety profile and durability of our product candidates in our clinical trials, regulatory approval, successful development and commercialization of our novel product candidates, and our ability to build out our manufacturing capabilities, any of which may never occur. We have not yet succeeded and may not succeed in demonstrating efficacy and safety or durability for any of our product candidates in clinical trials or in obtaining marketing approval thereafter. Given our early stage of development, it may be several years, if at all, before we have demonstrated the safety and efficacy of a product candidate sufficient to warrant approval for commercialization. If we are unable to develop, or obtain regulatory approval for, or, if approved, successfully commercialize our product candidates, we may not be able to generate sufficient revenue to continue our business, which could have a material adverse effect on our results of operations and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product candidates are based on novel technologies, which makes it difficult to predict the likely success of such product candidates and the time and cost of product candidate development and obtaining regulatory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concentrated our development efforts on our allogeneic gamma delta T cell therapy and our near-term success depends on the successful development of this therapeutic approach. We are in the early stages of developing our platform and product candidates and there can be no assurance that any development problems we have experienced or may experience in the future will not cause significant delays or result in unforeseen issues or unanticipated costs, or that any such development problems or issues can be overcome. We may also experience delays in developing a sustainable, reproducible and scalable manufacturing process or transferring that process to commercial partners, which may prevent us from completing our future clinical studies or commercializing our products on a timely or profitable basis, if at all. In addition, our expectations with regard to the advantages of an allogeneic gamma delta T cell therapy platform relative to other therapies may not materialize or materialize to the degree we anticipate. Further, our scalability and costs of manufacturing may vary significantly as we develop our product candidates and understand these critical factors.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clinical study requirements of the FDA, the European Medicines Agency (EMA) and other regulatory agencies and the criteria these regulators use to determine the safety and efficacy of a product candidate are determined according to the type, complexity, novelty and intended use and market of the potential products. The regulatory approval process for novel product candidates such as ours can be more complex and consequently more expensive and take longer than for other, better known or extensively studied pharmaceutical or other product candidates. Allogeneic gamma delta T cell therapies are novel therapies, with no T cell therapies licensed to date in the United States or the European Union to treat autoimmune diseases. Approvals by the EMA and FDA for existing autologous CAR T cell therapies, such as Kymriah® and Yescarta®, as well as other pathways to approval, may not be indicative of what these regulators may require for approval of our therapies. Also, while we expect reduced variability in our product candidates compared to autologous products, we do not have significant clinical data supporting any benefit of lower variability. More generally, approvals by any regulatory agency may not be indicative of what any other regulatory agencies may require for approval or what such regulatory agencies may require for approval in connection with new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product candidates may also not perform successfully in clinical trials or may be associated with adverse events that distinguish them from the autologous CAR T-cell therapies that have previously been approved or alpha beta T cell therapies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that may be approved in the future. Unexpected clinical outcomes could materially and adversely affect our business, results of operations and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product candidates may cause undesirable side effects or have other properties that could halt our clinical development, prevent our regulatory approval, limit our commercial potential or result in significant negative consequences.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Undesirable or unacceptable side effects caused by our product candidates could cause us or regulatory authorities to interrupt, delay or halt clinical trials and could result in a more restrictive label or the delay or denial of regulatory approval by the FDA, the EMA or other comparable foreign regulatory authorities. Results of our clinical trials could reveal a high and unacceptable severity and prevalence of side effects or unexpected characteristics. Approved autologous CAR T-cell therapies and those under development have shown frequent rates of cytokine release syndrome and neurotoxicity, and adverse events have resulted in the death of patients. In January 2024, the FDA determined that new boxed warning language related to T-cell malignancies should be included in the labeling for all BCMA- and CD19-directed genetically modified autologous T cell immunotherapies. While we believe our gamma delta T cell approach may lessen such results, similar or other adverse events for our allogeneic gamma delta T cell product candidates may occur and could result in increased government regulation, unfavorable public perception and publicity, potential impacts on enrollment in our clinical trials, potential regulatory delays in the testing or approval of our product candidates, stricter labeling requirements for those product candidates that are approved, and a decrease in demand for any such product candidates. In addition, while we anticipate our focus on gamma delta T cells may lessen the likelihood of graft versus host disease relative to therapies relying on unrelated alpha beta T cells, similar or other adverse events for our allogeneic gamma delta T cell product candidates may occur.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unacceptable toxicities arise in the development of our product candidates (or third-party product candidates utilizing similar technologies), we could suspend or terminate our trials or the FDA or comparable foreign regulatory authorities could order us to cease clinical trials or deny approval of our product candidates for any or all targeted indications. A data safety monitoring board may also suspend or terminate a clinical trial at any time on various grounds, including a finding that the research patients are being exposed to an unacceptable health risk, including risks inferred from other unrelated immunotherapy trials. Treatment-related side effects could also affect patient recruitment or the ability of enrolled subjects to complete the trial or result in potential product liability claims. Novel therapeutic candidates, such as those we are developing, may result in novel side effect profiles that may not be appropriately recognized or managed by the treating medical staff. We anticipate having to train medical personnel using our product candidates to understand the side effect profile of our product candidates for our clinical trials and upon any commercialization of any of our product candidates. Inadequate training in recognizing or managing the potential side effects of our product candidates could result in serious adverse events including patient deaths. Based on available preclinical data and clinical experience with other cell therapy agents, the safety profile of our pipeline product candidates is expected to include cytokine release syndrome, neurotoxicity, and possibly additional adverse events. Any of these occurrences may have a material adverse effect our business, financial condition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side effects and adverse events caused by any product candidates we may develop, the conditioning, administration process or related procedures that may be used with our product candidates may also cause adverse side effects. A T cell therapy patient is generally administered cytotoxic drugs to remove stem cells from the bone marrow to create sufficient space in the bone marrow for the modified stem cells to engraft and produce new cells. This procedure causes side effects and, among other potential risks, can transiently compromise the patient’s immune system, known as neutropenia, and reduce blood clotting, known as thrombocytopenia. If we are unable to demonstrate that such adverse events were caused by the conditioning regimens used, administration process or related procedure, or were otherwise unrelated to the therapy candidate being studied, the FDA, the EMA or other regulatory authorities could order us to cease further development of, or deny approval of, any product candidates we may develop for any or all target indications. Even if we are able to demonstrate that adverse events are not related to our product candidate, such occurrences could affect patient recruitment, the ability of enrolled patients to complete the clinical trial or the commercial viability of any product candidates that obtain regulatory approval.</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are required by the FDA to obtain approval of a companion diagnostic in connection with approval of any of our product candidates and we do not obtain, or face delays in obtaining, FDA approval of such companion diagnostic, we will not be able to commercialize such product candidate and our ability to generate revenue will be materially impaired.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the FDA believes that the safe and effective use of any of our product candidates depends on an in vitro diagnostic, then it may require approval or clearance of that diagnostic as a companion diagnostic at the same time that the FDA approves our product candidates, if at all.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Depending on the data from our clinical trials, we may decide to collaborate with diagnostic companies during our clinical trial enrollment process to help identify patients with characteristics that we believe will be most likely to respond to our product candidates. If a satisfactory companion diagnostic is not commercially available in this situation, we may be required to develop or obtain such test, which would be subject to regulatory approval requirements. The process of obtaining or creating such diagnostic is time consuming and costly.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Companion diagnostics are developed in conjunction with clinical programs for the associated product and are subject to regulation as medical devices by the FDA and comparable foreign regulatory authorities. In January 2024, FDA announced its intention to initiate the reclassification process for most in vitro diagnostics, including companion diagnostics. Further, FDA indicated that in addition to the reclassification process, FDA will continue taking a risk-based approach in the initial classification of individual in vitro diagnostics to determine whether a new test may be classified into class II through the de novo classification process. In so doing, FDA indicated that it may regulate most future companion diagnostics as class II devices. The approval or clearance of a companion diagnostic as part of the therapeutic product’s further labeling limits the use of the therapeutic product to only those patients who express the specific characteristic that the companion diagnostic was developed to detect.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the FDA or a comparable foreign regulatory authority requires approval or clearance of a companion diagnostic for any of our product candidates, whether before or after the product candidate obtains regulatory approval, we and/or third-party collaborators may encounter difficulties in developing and obtaining approval or clearance for these companion diagnostics. Any delay or failure by us or third party collaborators to develop or obtain regulatory approval or clearance of a companion diagnostic could delay or prevent approval or continued marketing of the relevant product. We or our collaborators may also experience delays in developing a sustainable, reproducible and scalable manufacturing process for the companion diagnostic or in transferring that process to commercial partners or negotiating insurance reimbursement plans, any of which may prevent us from completing our clinical trials or, if approved, commercializing our product candidates on a timely or profitable basis, if at all.</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Risks Related to Clinical Trials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clinical trials may fail to demonstrate the safety and efficacy of any of our product candidates, which would prevent or delay regulatory approval and commercialization.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Before obtaining regulatory approvals for the commercial sale of our product candidates, we must demonstrate through lengthy, complex and expensive preclinical testing and clinical trials that our product candidates are both safe and effective for use in each target indication. Clinical testing is expensive and can take many years to complete, and its outcome is inherently uncertain. Failure can occur at any time during the clinical trial process. The results of preclinical studies and early clinical trials of our product candidates may not be predictive of the results of later-stage clinical trials.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insufficient durability of efficacy or unacceptable safety issues, notwithstanding promising results in earlier trials. Most product candidates that commence clinical trials are never approved.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for the ongoing Phase 1 study of prula-cel and any future clinical trials that may be completed, we cannot guarantee that the FDA or foreign regulatory authorities will interpret the results as we do, and more trials could be required before we submit marketing applications for our product candidates. To the extent that the results of the trials are not satisfactory to the FDA or foreign regulatory authorities for support of a marketing application, approval of our product candidates may be significantly delayed, or we may be required to expend significant additional resources, which may not be available to us, to conduct additional trials in support of potential approval of our product candidates. Any of the foregoing could have a material adverse effect on our business, prospects and financial condition.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not be able to file IND applications, or comparable regulatory submissions outside the United States, to commence additional clinical trials on the timelines we expect, and even if we are able to, the FDA or analogous regulatory authorities may not permit us to proceed.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received clearance for INDs to evaluate prula-cel in clinical trials in a number of indications. Our pipeline also includes ADI-212, an optimized next-generation gene-edited and armored clinical candidate targeting prostate specific membrane antigen (PSMA). We expect to submit a regulatory filing for ADI-212, such as an IND application or comparable regulatory submission outside the United States, for the treatment of metastatic castration-resistant prostate cancer (mCRPC) in the third quarter of 2026 with Phase 1 enrollment anticipated to start in the fourth quarter of 2026 pending regulatory clearance. We aim to submit a new regulatory submission, such as an IND application or equivalent every 12-18 months. We may not be able to make these filings on the timelines we expect, which may cause delays in commencing additional clinical trials. Even if such regulatory authorities agree with the design and implementation of the clinical trials set forth in an IND application or clinical trial application, we cannot guarantee that such regulatory authorities will not change their requirements in the future. Moreover, we cannot be sure that submission of an IND application for any of our other product candidates will result in the FDA allowing trials to begin, or that, once begun, issues will not arise that result in a decision by us, by independent institutional review boards (IRBs) or independent ethics committees, or by the FDA, the EMA or other regulatory authorities to suspend or terminate clinical trials. For example, we may experience manufacturing delays or other delays with IND-enabling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studies or the FDA, the EMA or other regulatory authorities may require additional preclinical studies that we did not anticipate. The inability to initiate clinical trials for any of our product candidates on the timeline we currently anticipate or at all could have a material adverse effect on our business, results of operations and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encounter substantial delays in our clinical trials, or may not be able to conduct our trials on the timelines we expect.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Clinical testing is expensive, time consuming and subject to uncertainty. We cannot guarantee that any clinical studies will be conducted as planned or completed on schedule, if at all. Even if these trials begin as planned, issues may arise that could result in the suspension, or termination, or clinical hold of such clinical trials. A failure of one or more clinical studies can occur at any stage of testing, and our ongoing or future clinical studies may not be successful. Factors that may prevent successful or timely completion of clinical development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inability to generate sufficient preclinical, toxicology or other in vivo or in vitro data to support the initiation of clinical studies;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sufficiently developing, characterizing or controlling a manufacturing process suitable for advanced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developing suitable assays for screening patients for eligibility for trials with respect to certain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reaching a consensus with regulatory agencies on study design;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obtaining regulatory authorization to begin a trial, which may include the evaluation of a companion diagnostic, if applicable;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reaching an agreement on acceptable terms with prospective contract research organizations (CROs) and clinical study sites, the terms of which can be subject to extensive negotiation and may vary significantly among different CROs and clinical study sites;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obtaining required IRB approval at each clinical study site;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imposition of a temporary or permanent clinical hold by regulatory agencies for a number of reasons, including after review of an IND application or amendment, or equivalent application or amendment; as a result of a safety finding that presents unreasonable risk to clinical trial participants; a negative finding from an inspection of our clinical study operations or study sites; developments on trials conducted by competitors for related technology that raises FDA concerns about risk to patients of the technology broadly; or if FDA finds that the investigational protocol or plan is clearly deficient to meet its stated objectives;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recruiting eligible patients to participate in our clinical studies;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difficulty collaborating with patient groups and investigators;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by our CROs or other third parties to adhere to clinical study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to perform in accordance with the FDA’s Good Clinical Practices (GCPs) requirements or applicable regulatory guidelines in other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challenges in transferring manufacturing processes to any new contract development and manufacturing organizations (CDMOs) or our manufacturing facilities or any other development or commercialization partner for the manufacture of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having patients’ complete participation in a study or failure to return for post-treatment follow-up;</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developing and implementing processes and procedures with collaborators, if applicable, relating to the collection and transfer of patient samples and the timely performance of a companion diagnostic on such samples;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patients dropping out of a study;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occurrence of adverse events associated with the product candidate that are viewed to outweigh its potential benefits;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regulatory requirements and guidance that require amending or submitting new clinical protocols;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standard of care on which a clinical development plan was based, which may require new or additional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clinical studies of our product candidates being greater than we anticipate;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studies of our product candidates producing negative or inconclusive results, which may result in us deciding, or regulators requiring us, to conduct additional clinical studies or abandon product development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or failure to secure supply agreements with suitable raw material suppliers, or any failures by suppliers to meet our quantity or quality requirements for necessary raw materials;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political conditions or conflicts in regions where we conduct or may seek to conduct our clinical trials;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manufacturing challenges, including delays in testing, releasing, validating, or importing/exporting sufficient stable quantities of our product candidates for use in clinical studies or the inability to do any of the foregoing.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Timelines for filing INDs for our product candidates are dependent on further preclinical and manufacturing success, which we work on with various third parties. We cannot be sure that we will be able to submit our INDs in a timely manner, if at all, or that submission of an IND application or IND amendment will result in the FDA allowing testing and clinical trials to begin, or that, once begun, issues will not arise that result in the suspension, termination, or clinical hold of such clinical trials.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inability to successfully complete preclinical and clinical development could result in additional costs to us or impair our ability to generate revenue. In addition, if we make manufacturing or formulation changes to our product candidates, we may be required to or we may elect to conduct additional studies to bridge our modified product candidates to earlier versions. Clinical study delays could also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Monitoring safety of patients receiving our product candidates is challenging, which could adversely affect our ability to obtain regulatory approval and commercialize.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our current and planned clinical trials of our product candidates, we have contracted with and expect to continue to contract with academic medical centers and hospitals experienced in the assessment and management of toxicities arising during clinical trials. Nonetheless, these centers and hospitals may have difficulty observing patients and treating toxicities, which may be more challenging due to personnel changes, inexperience, shift changes, house staff coverage or related issues. Any such difficulties could lead to more severe or prolonged toxicities or even patient deaths, which could result in us or the FDA delaying, suspending, terminating, or issuing a clinical hold on one or more of our clinical trials, and which could jeopardize regulatory approval. Medicines used at centers to help manage adverse side effects of prula-cel or our other product candidates may not adequately control the side effects and/or may have a detrimental impact on the efficacy of the treatment. Use of these medicines may increase with new physicians and centers administering our product candidates, any of which could have a material adverse effect on our ability to obtain regulatory approval and commercialize on the timelines anticipated or at all, which could have a material adverse effect on our business and results of operations.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encounter difficulties enrolling patients in our clinical trials, our clinical development activities could be delayed or otherwise adversely affected.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experience difficulties in patient enrollment in our clinical trials for a variety of reasons. The timely completion of clinical trials in accordance with the protocols depends, among other things, on our ability to enroll a sufficient number of patients who remain in the study until the conclusion. The enrollment of patients depends on many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patient eligibility criteria and exclusion criteria defined in the protocol;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size of the patient population required for analysis of the trial’s primary endpoints;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proximity of patients to study sites;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and location of clinical sites, including the potential impact of global or regional conflicts;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design of the trial;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recruit clinical trial investigators with the appropriate competencies and experience;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and maintain patient consents;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risk that patients enrolled in clinical trials will drop out of the trials before the infusion of our product candidates or trial completion.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our clinical trials may compete with other clinical trials for product candidates that are in the same therapeutic areas as our product candidates, and this competition may reduce the number and types of patients available to us because some patients who might have opted to enroll in our trials may instead opt to enroll in a trial being conducted by one of our competitors. Since the number of qualified clinical investigators is limited, some of our clinical trial sites are also being used by some of our competitors, which may reduce the number of patients who are available for our clinical trials in that clinical trial site.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Moreover, because our product candidates represent unproven methods for the treatment of autoimmune diseases and cancer, potential patients and their doctors may be inclined to use conventional therapies rather than enroll in our clinical trial. For cancer, they may use chemotherapy and hematopoietic cell transplantation or autologous CAR T cell therapies. Patients eligible for allogeneic CAR T cell therapies but ineligible for autologous CAR T cell therapies due to aggressive cancer and inability to wait for autologous CAR T cell therapies may be at greater risk for complications and death from therapy. For autoimmune diseases, potential patients may use therapies that focus on symptomatic relief.</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Delays in patient enrollment may result in increased costs or may affect the timing or outcome of our ongoing clinical trial and planned clinical trials, which could prevent completion of these trials and adversely affect our ability to advance the development of our product candidates.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Clinical trials are expensive, time-consuming and difficult to design and implement.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Human clinical trials are expensive and difficult to design and implement, in part because they are subject to rigorous regulatory requirements. Because our gamma delta T cell product candidates are based on novel technologies and will require the creation of inventory of mass-produced, “off-the-shelf” products, we expect that we will require extensive research and development and have substantial manufacturing and processing costs. In addition, costs to treat patients with autoimmune diseases and cancer and to treat potential side effects that may result from our product candidates can be significant. Accordingly, our clinical trial costs are likely to be significantly higher than for more conventional therapeutic technologies or drug products, which is expected to have a material adverse effect on our financial position and ability to achieve profitability.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a result, because we have limited financial and managerial resources, we may forego or delay pursuit of opportunities with other product candidates or for other indications that later prove to have greater commercial potential. For example, in January 2024, we announced we had deprioritized enrollment of large B cell lymphoma patients in our Phase 1 clinical trial of prula-cel in non-Hodgkin's lymphoma and in September 2024 we announced a strategic prioritization to focus prula-cel development resources on autoimmune indications. In July 2025, we also announced that we discontinued the development of ADI-270 for patients with metastatic/advanced clear renal cell carcinoma to prioritize corporate resources on prula-cel and ADI-212.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Failure to allocate resources or capitalize on strategies in a successful manner will have an adverse impact on our business,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 variety of risks associated with conducting research and clinical trials abroad and marketing our product candidates internationally could materially adversely affect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currently conducting research and development activities outside of the United States, including in China, and plan to continue to globally develop our product candidates. Accordingly, we expect that our development programs will be subject to additional risks related to operating in foreign countries, including but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differing and changing regulatory requirements in foreign countries, including for clinical trial activities and product approvals;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unexpected changes in tariffs (including tariffs that have been or may in the future be imposed by the United States or other countries), trade barriers, price and exchange controls and other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increased difficulties in managing the logistics and transportation of storing and shipping product candidates produced in the United States and shipping the product candidate to the patient abroad;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import and export requirements and restrictions;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economic weakness, including inflation, or political instability and/or armed conflicts in particular foreign countries and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difficulties in compliance with different, complex and changing laws, regulations and court systems of multiple jurisdictions and compliance with a wide variety of foreign laws, treaties and regulations;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increasing geopolitical tensions between the U.S. and other countries in which we may operate and changes in a specific country’s or region’s political or economic environment especially with respect to a particular country’s treatment of or stance towards other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foreign taxes, including withholding of payroll taxes;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foreign currency fluctuations, which could result in increased operating expenses and reduced revenue, and other obligations incident to doing business in another country;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difficulties staffing and managing foreign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workforce uncertainty in countries where labor unrest is more common than in the United States;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differing payor reimbursement regimes, governmental payors or patient self-pay systems and price controls;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liability under the U.S. Foreign Corrupt Practices Act (FCPA) or comparable foreign regulations;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challenges enforcing our contractual and intellectual property rights, especially in those foreign countries that do not respect and protect intellectual property rights to the same extent as the United States;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production shortages resulting from any events affecting raw material supply or manufacturing capabilities abroad. </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 xml:space="preserve">Furthermore, conducting clinical trials in countries outside the United States presents additional risks, including political and economic risks, such as armed conflict and economic embargoes or boycotts. We currently conduct and plan in the future to initiate clinical trials of prula-cel at sites outside of the United States, which may be located in countries involved in or impacted by political unrest and conflicts. For example, while we currently do not expect armed conflicts, such as the conflicts between the United States, Israel and Iran, Russia and Ukraine, or Israel and Hamas, or related developments to have a significant impact on our ability to obtain results from our clinical trials, further escalation (whether in these countries or surrounding areas) may adversely affect our ability to adequately conduct certain clinical trials and maintain compliance with relevant protocols due to, among other reasons, the prioritization of hospital resources away from clinical trials, reallocation or evacuation of site staff and subjects, or as a result of government-imposed curfews, warfare, violence, or other governmental action or other events that restrict movement. These developments may also result in our inability to access sites for monitoring or to obtain data from affected sites or patients going forward. We could also experience disruptions in our supply chain or limits to our ability to provide sufficient investigational materials in such countries and surrounding regions. Clinical trial sites may suspend or terminate the trials being conducted and patients could be forced to evacuate or choose to relocate, making them unavailable for initial or further participation in such trials. Alternative sites in these areas may not be available and we may need to find other countries to conduct the relevant trials. Furthermore, military action may prevent the FDA or other regulatory agencies from inspecting clinical sites in these countries. Such interruptions may delay our plans for clinical development and approvals for our product candidates. </w:t>
      </w:r>
    </w:p>
    <w:p>
      <w:pPr>
        <w:pStyle w:val="TextBody"/>
        <w:bidi w:val="0"/>
        <w:spacing w:before="80" w:after="283"/>
        <w:jc w:val="both"/>
        <w:rPr>
          <w:rFonts w:ascii="Times New Roman" w:hAnsi="Times New Roman"/>
          <w:sz w:val="20"/>
        </w:rPr>
      </w:pPr>
      <w:r>
        <w:rPr>
          <w:rFonts w:ascii="Times New Roman" w:hAnsi="Times New Roman"/>
          <w:b/>
          <w:i/>
          <w:color w:val="000000"/>
          <w:sz w:val="20"/>
        </w:rPr>
        <w:t>We have conducted, and may in the future conduct, certain clinical trials for our product candidates outside of the U.S. However, the FDA and comparable foreign regulatory authorities may not accept data from such trials, in which case our development plans will be delayed, which could materially harm our business.</w:t>
      </w:r>
      <w:r>
        <w:rPr>
          <w:rFonts w:ascii="Times New Roman" w:hAnsi="Times New Roman"/>
          <w:color w:val="000000"/>
          <w:sz w:val="20"/>
        </w:rPr>
        <w:t xml:space="preserve"> </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 xml:space="preserve">We are conducting our Phase 1 clinical trial for prula-cel in treatment-refractory RA outside the U.S., and may conduct one or more of our subsequent clinical trials for our product candidates outside the U.S. Although the FDA may accept data from clinical trials conducted outside the U.S., acceptance of this data is subject to certain conditions imposed by the FDA. Where data from foreign clinical trials are intended to serve as the basis for marketing approval in the U.S., the FDA will not approve the application on the basis of foreign data alone unless those data are applicable to the U.S. population and U.S. medical practice; the studies were performed by clinical investigators of recognized competence; and the data are considered valid without the need for an on-site inspection by the FDA or, if the FDA considers such an inspection to be necessary, the FDA is able to validate the data through an on-site inspection or other appropriate means. For studies that are conducted only at sites outside of the U.S. and not subject to an IND, the FDA generally does not provide advance comment on the clinical protocols for the studies, and therefore there is an additional potential risk that the FDA could determine that the study design or protocol for a non-U.S. clinical trial was inadequate, and require us to conduct additional clinical trials. In addition, even where the foreign study data are not intended to serve as the sole basis for approval, the FDA will not accept the data as support for an application for marketing approval unless the study is well-designed and well-conducted in accordance with GCP and the FDA is able to validate the data from the study through an onsite inspection if deemed necessary. Many foreign regulatory authorities have similar approval requirements. If the FDA does not accept data from our clinical trials of our product candidates, we would likely need to conduct additional clinical trials, which would be costly and time consuming and could delay or halt our development of our product candidates.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These and other risks associated with our potential international operations may materially adversely affect our ability to develop our product candidates and attain or maintain profitable operations, which could have a material adverse effect on our business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Risks Related to Marketing Our Product Candidates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market opportunities for our product candidates may be limited to those patients who are ineligible for or have failed prior treatments and may be small.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FDA often approves new therapies initially only for use in patients who are currently not adequately treated with currently approved therapies. We expect to initially seek approval of prula-cel and our other product candidates in this setting. Subsequently, for those products that prove to be sufficiently beneficial, if any, we would expect to seek approval in earlier lines of treatment and potentially as a first line therapy. There is no guarantee that our product candidates, even if approved, would be approved for earlier lines of therapy, and, prior to any such approvals, we may have to conduct additional clinical trials, including potentially comparative trials against approved therapies. We are also targeting a similar patient population as autologous CAR T-cell product candidates, including approved autologous CAR T-cell products. Our therapies may not be as safe and effective as autologous CAR T-cell therapies and may only be approved for patients who are ineligible for autologous CAR T-cell therapy.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projections of both the number of people who have the indications we are targeting, as well as the subset of people with these indications in a position to receive second or later lines of therapy and who have the potential to benefit from treatment with our product candidates, are based on our beliefs and estimates. These estimates have been derived from a variety of sources, including scientific literature, patient foundations or market research and may prove to be incorrect. Further, new studies may change the estimated incidence or prevalence of these indications. The number of patients may turn out to be lower than expected. Additionally, the potentially addressable patient population for our product candidates may be limited or may not be amenable to treatment with our product candidates. Even if we obtain significant market share for our product candidates, because the potential target populations are small, we may never achieve profitability without obtaining regulatory approval for additional indications.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fail to develop additional product candidates, our commercial opportunity will be limited.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One of our core strategies is to pursue clinical development of additional product candidates beyond prula-cel. Our pipeline also includes ADI-212, an optimized next-generation gene-edited and armored product candidate targeting PSMA that we plan to submit a regulatory filing for the treatment of mCRPC. We plan to submit one new IND to the FDA every 12-18 months. Developing, obtaining regulatory approval for and commercializing additional gamma delta T cell product candidates will require substantial additional funding and is prone to the risks of failure inherent in medical product development. We cannot provide you any assurance that we will be able to successfully advance any of these additional product candidates through the development process.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Even if we receive FDA approval to market our product candidates for the treatment of our targeted indications, we cannot assure you that any such product candidates will be successfully commercialized, widely accepted in the marketplace or more effective than other commercially available alternatives. If we are unable to successfully develop and commercialize additional product candidates, our commercial opportunity will be limited. Moreover, a failure in obtaining regulatory approval of additional product candidates may have a negative effect on the approval process of any other, or result in losing approval of any approved, product candidate which could have a material adverse effect on our business and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currently have no marketing and sales organization and as a company have no experience in marketing products. If we are unable to establish marketing and sales capabilities or enter into agreements with third parties to market and sell our product candidates, if approved, we may not be able to generate product 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currently have no sales, marketing or distribution capabilities and as a company have no experience in marketing products. We may develop a marketing organization and sales force, which will require significant capital expenditures, management resources and time. We will have to compete with other pharmaceutical and biotechnology companies to recruit, hire, train and retain marketing and sales personnel.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are unable or decide not to establish internal sales, marketing and distribution capabilities, we will pursue collaborative arrangements with third parties regarding the sales and marketing of our products; however, there can be no assurance that we will be able to establish or maintain such collaborative arrangements, or if we are able to do so, that it will have effective sales forces. Any revenue we receive will depend upon the efforts of such third parties, which may not be successful.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can be no assurance that we will be able to develop in-house sales and distribution capabilities or establish or maintain relationships with third-party collaborators to commercialize any product that receives regulatory approval in the United States or overseas. If we are unable to successfully market and distribute our products, either on our own or in collaboration with third parties, our business, results of operations and prospects could be materially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face significant competition from other biotechnology and pharmaceutical companies, and our operating results will suffer if we fail to compete effectively.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biopharmaceutical industry is characterized by intense competition and rapid innovation. Our competitors may be able to develop other compounds, drugs, or biological products that are able to achieve similar or better results.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through collaborative arrangements with large, established companies.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collaborative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Specifically, engineered T cells face significant competition in both the CAR and T cell receptor (TCR) technology space from multiple companies. Even if we obtain regulatory approval of our product candidates, the availability and price of our competitors’ products could limit the demand and the price we are able to charge for our product candidates. We may not be able to implement our business plan if the acceptance of our product candidates is affected by price competition or the reluctance of physicians to switch from existing methods of treatment to our product candidates, or if physicians switch to other new drug or biologic products or choose to reserve our product candidates for use in limited circumstances.</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Risks Related to Manufacturing</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Although we have commenced manufacturing operations at our manufacturing facility, we currently depend on the ability of our third-party suppliers and manufacturers with whom we contract to perform adequately, particularly with respect to the timely production and delivery of our product candidates, including prula-cel. This reliance on third parties increases the risk that we will not have sufficient quantities of our product candidates or products or such quantities at an acceptable cost, which could delay, prevent or impair our development or commercialization efforts.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we commenced manufacturing operations at our Redwood City facility, we rely and expect to continue to rely to a significant extent on third parties for the manufacture of our product candidates for preclinical and clinical development. We may not be able to achieve clinical or commercial manufacturing and cell processing on our own or through our CDMOs, including timely supply of “off-the-shelf” product to satisfy demands to support clinical trials of any of our product candidates. To the extent we are not able to obtain timely supply of “off-the-shelf” product, the anticipated timing for our clinical trials and the development of our product candidates could be adversely impacted. Very few companies have experience in manufacturing gamma delta T cell therapy derived from blood of unrelated donors, and gamma delta T cells require several complex manufacturing steps before being available as a mass-produced, “off-the-shelf” product. We have limited experience in managing the allogeneic gamma delta T cell engineering process, and our allogeneic processes may be more difficult or more expensive than the approaches taken by our competitors. We cannot be sure that the manufacturing processes employed by or on our behalf will result in T cells that will be safe and effective.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operations remain subject to review and oversight by the FDA and the FDA could object to our use of any manufacturing facilities. Even if our product candidates are approved, we would be subject to ongoing periodic unannounced inspection by the FDA and corresponding state agencies to ensure strict compliance with current Good Manufacturing Practices (cGMPs) and other government regulations. Our license to manufacture product candidates will be subject to continued regulatory review.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cost of goods development is at an early stage. The actual cost to manufacture and process our product candidates could be greater than we expect and could materially and adversely affect the commercial viability of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manufacture of biopharmaceutical products is complex and requires significant expertise, including the development of advanced manufacturing techniques and process controls. Manufacturers of cell therapy products often encounter difficulties in production, particularly in scaling out and validating initial production and ensuring the absence of contamination. These problems include difficulties with production costs and yields, quality control, including stability of the product, quality assurance testing, operator error, shortages of qualified personnel, as well as compliance with strictly enforced federal, state and foreign regulations. The occurrence of any of such problems could adversely impact the availability of products for our clinical trials and commercial sale. Furthermore, if contaminants are discovered in our supply of product candidates or in the manufacturing facilities, such manufacturing facilities may need to be closed for an extended period of time to investigate and remedy the contamination. We have experienced manufacturing delays due to these issues in the past and cannot assure you that any stability or other issues relating to the manufacture of our product candidates will not occur in the future.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product candidates and any products that we may develop may compete with other companies' product candidates and approved products for access to manufacturing facilities. There are a limited number of manufacturers that operate under cGMP regulations and that might be capable of manufacturing for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fail to manage the logistics of storing and shipping our product candidates. Storage failures and shipment delays and problems caused by us, our vendors or other factors not in our control, such as weather, could result in loss of usable product or prevent or delay the delivery of product candidates to patients.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also experience both internal and external manufacturing difficulties due to resource constraints or as a result of labor disputes. We have experienced external manufacturing difficulties in the past; if we were to continue to encounter any of these difficulties, our ability to provide our product candidates to patients would be jeopardized, which could have a material adverse effect on our business, results of operations and prospects.</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Risks Related to Our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highly dependent on our key personnel, and if we are not successful in attracting and retaining highly qualified personnel, we may not be able to successfully implement our business strategy.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ability to compete in the highly competitive biotechnology and pharmaceutical industries depends upon our ability to attract and retain highly qualified managerial, scientific and medical personnel. We are highly dependent on our management, scientific and medical personnel. The loss of the services of any of our executive officers, other key employees and other scientific and medical advisors, and our inability to find suitable replacements could result in delays in product development and harm our business. Although we announced a workforce reduction in July 2025, we expect that we will have a need to recruit and hire qualified personnel as we advance our programs and expand operations. Our recent workforce reduction could impede future recruiting and hiring efforts. Failure to successfully recruit and retain personnel could impact our anticipated development plans and timelines.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conduct substantially all of our operations at our facilities in the San Francisco Bay Area. This region is headquarters to many other biopharmaceutical companies and many academic and research institutions. Competition for skilled personnel in this market is intense and may limit our ability to hire and retain highly qualified personnel on acceptable terms or at all.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To induce valuable employees to remain at our company, in addition to salary and cash incentives, we have provided stock options and restricted stock units that vest over time. The value to employees of stock options that vest over time may be significantly affected by fluctuations in our stock price that are beyond our control. Declines in our stock price generally reduce the value of equity awards granted to its employees. To the extent our stock price declines, our ability to incentivize, retain or attract qualified talent could be negatively impacted. Such declines in stock price may result in additional “underwater” stock options held by certain employees and officers. For example, in August 2024, certain of our executive officers entered into an option cancellation agreement to surrender certain underwater stock options.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value of our stock options may at any time be insufficient to counteract more lucrative offers from other companies. Despite our efforts to retain valuable employees, members of our management, scientific and development teams may terminate their employment with us on short notice. Although we have employment agreements with our key employees, these employment agreements provide for at-will employment, which means that any of our employees could leave our employment at any time, with or without notice. We do not maintain “key person” insurance policies on the lives of these individuals or the lives of any of our other employees. Our success also depends on our ability to continue to attract, retain and motivate highly skilled junior, mid-level and senior managers as well as junior, mid-level and senior scientific and medical personnel. To provide added incentives to retain and motivate key contributors, our board of directors approved a stock option repricing in August 2023. Despite this, we may have difficulty retaining key personnel, which could adversely affect our business and further development of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will need substantial additional financing to develop our product candidates and implement our operating plans. If we fail to obtain additional financing, we may be unable to complete the development and commercialization of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to spend a substantial amount of capital for the clinical development of our product candidates, including the ongoing and future clinical trials for prula-cel and preparations for a regulatory filing for ADI-212. We will need substantial additional financing to develop our products and implement our operating plans. In particular, we will require substantial additional financing to enable commercial production of our products and initiate and complete registration trials for multiple products. Further, if approved, we will require significant additional amounts in order to launch and commercialize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the date of this Quarterly Report on Form 10-Q, we believe that with $118.2 million in cash, cash equivalents and short-term investments in treasury securities as of June 30, 2026, we are capitalized into the second half of 2027. However, changing circumstances may cause us to consume capital significantly faster than we currently anticipate, and we may need to spend more money than currently expected because of circumstances beyond our control. We may require additional capital for the further development and commercialization of our product candidates, including funding our internal manufacturing capabilities and may need to raise additional funds sooner if we choose to expand more rapidly than we presently anticipate.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cannot be certain that additional funding will be available on acceptable terms, or at all. We have no committed source of additional capital and if we are unable to raise additional capital in sufficient amounts or on terms acceptable to us, we may have to significantly delay, scale back or discontinue the development or commercialization of our product candidates or other research and development initiatives. In addition, certain of our license and collaboration agreements require us to make cash payments upon the achievement of certain milestone events. In the event we are unable to meet the payment obligations under these agreements, the agreements may be terminated in accordance with the terms of such agreements. Further, we could be required to seek collaborators for our product candidates at an earlier stage than otherwise would be desirable or on terms that are less favorable than might otherwise be available or relinquish or license on unfavorable terms our rights to our product candidates in markets where we otherwise would seek to pursue development or commercialization ourselves. Additionally, United States and global economic uncertainty, higher interest rates and diminished credit availability may limit our ability to incur indebtedness on favorable terms. Furthermore, the impact of geopolitical tension, such as a deterioration in the bilateral relationship between the United States and China, an escalation in conflict between Russia and Ukraine, the ongoing armed conflict between the United States, Israel and Iran, or the ongoing armed conflict in Israel and the Gaza strip, including any resulting sanctions, export controls or other restrictive actions, also could lead to disruption, instability and volatility in the global markets, which may have an impact on our ability to obtain additional funding.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of the above events could significantly harm our business, prospects, financial condition and results of operations and cause the price of our common stock to decline.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grown rapidly and will need to continue to grow the size of our organization, and it may experience difficulties in managing this growth.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our development and commercialization plans and strategies develop, and as we have transitioned into operating as a public company, we have rapidly expanded our employee base. Current and future growth imposes significant added responsibilities on members of management,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identifying, recruiting, integrating, maintaining and motivating additional employees;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managing our internal development efforts effectively, including the clinical and FDA review process for our product candidates, while complying with our contractual obligations to contractors and other third parties;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improving our operational, financial and management controls, reporting systems and procedures.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future financial performance and our ability to commercialize our product candidates will depend, in part, on our ability to effectively manage our growth, and our management may also have to divert a disproportionate amount of our attention away from day-to-day activities in order to devote a substantial amount of time to managing these growth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currently rely, and for the foreseeable future will continue to rely, in substantial part on certain independent organizations, advisors and consultants, pursuant to arrangements which expire after a certain period of time, to provide certain services, including certain research and development as well as general and administrative support. There can be no assurance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or at all.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 which could have a material adverse effect on our business, results of operations and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form or seek strategic alliances or enter into additional licensing arrangements in the future, and we may not realize the benefits of such alliances or licensing arrangements.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form or seek strategic alliances, create joint ventures or collaborations or enter into additional licensing arrangements with third parties that we believe will complement or augment our development and commercialization efforts with respect to our product candidates and any future product candidates that we may develop. Any of these relationships may require us to incur non-recurring and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Any delays in entering into new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license products or businesses, we may not be able to realize the benefit of such transactions if we are unable to successfully integrate them with our existing operations and company culture. For instance, our License and Collaboration Agreement (the Regeneron Agreement) with Regeneron Pharmaceuticals, Inc. (Regeneron) requires significant research and development commitments that may not result in the development and commercialization of product candidates. We cannot be certain that, following a strategic transaction or license, we will achieve the results, revenue or specific net income that justifies such transaction, which could have a material adverse effect on our business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cash preservation activities, including the workforce reduction plan, may not result in anticipated savings, could result in total costs and expenses that are greater than expected and could disrupt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July 2025, we implemented our workforce reduction plan. In connection with the workforce reduction plan, we incurred costs of approximately $2.3 million, which were primarily one-time severance benefits. We may not realize, in full or in part, the anticipated benefits, savings and improvements in our cost structure from our restructuring efforts due to unforeseen difficulties, delays or unexpected costs. If we are unable to realize the expected operational efficiencies and cost savings from the restructuring, our operating results and financial condition would be adversely affected. Furthermore, our workforce reduction plan may be disruptive to our operations. For example, headcount reductions could yield unanticipated consequences, such as increased difficulties in implementing our business strategy, including retention of remaining employees.</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Risks Related to Doing Business in China and Our International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pharmaceutical industry in China is highly regulated and such regulations, including the Foreign Investment Law and the “negative list,” are subject to change which may affect development approval and commercialization of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pharmaceutical industry in China is subject to comprehensive government regulation and supervision, encompassing the development, approval, registration, manufacturing, packaging, licensing and marketing of new drugs. For example, under the People's Republic of China (PRC) law, before we or our subsidiaries commence a clinical trial with Shanghai Adicet Biotechnology Co., Ltd., (Shanghai Adicet), an approval or filing, as the case may be, needs to be obtained in advance for any projects in respect of human genetic resources in order to collect any biological samples that contain the genetic material of Chinese human subjects. Any failure to obtain such approval or filing could cause such projects to be suspended by governing authorities, and may result in fines. Investigator-initiated trials cannot be implemented in a medical and healthcare institution without first being approved by such medical and healthcare institutions. Such medical and healthcare institutions shall file such approval to the medical and healthcare authority which issues its operating license for record. Furthermore, under relevant PRC laws, a license for use of laboratory animals is required for performing experimentation on animals. Any failure to fully comply with such requirements may result in the invalidation of our experimental data. In recent years, the regulatory framework in China regarding the pharmaceutical industry has undergone significant changes, and we expect that it will continue to undergo significant changes. Any such changes or amendments may result in increased compliance costs on our business or cause delays in or prevent the successful development or commercialization of our product candidates in China and reduce the current benefits we believe are available to us from developing and manufacturing drugs in China. PRC authorities have become increasingly vigilant in enforcing laws in the pharmaceutical industry and any failure by us or our partners to maintain compliance with applicable laws and regulations or obtain and maintain required licenses and permits may result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suspension or termination of our business activities in China. We believe our strategy and approach are aligned with the PRC government’s regulatory policies, but we cannot ensure that our strategy and approach will continue to be aligned.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Foreign Investment Law in China grants foreign invested entities the same treatment as PRC domestic entities, except for those foreign invested entities that operate in industries deemed to be either “restricted” or “prohibited” in the “negative list” published by the Ministry of Commerce, and the National Development and Reform Commission (2024 Negative List). We and our PRC subsidiaries, Adicet (Shanghai) Biotechnology Co., Ltd. (Adicet Shanghai), and Shanghai Adicet, each a wholly foreign-owned enterprise (WFOE), are currently considered to be a foreign invested entity in China.</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The 2024 Negative List provides that foreign investment is prohibited in the development and application of human stem cell or gene diagnostic and therapeutic technologies. To date, there has been no official interpretation of the scope of “human stem cell or gene diagnostic and therapeutic technologies” and the application of this regulation remains unclear. If discovering and developing our allogeneic gamma delta T cell therapies are deemed by relevant PRC regulatory agencies as falling into the category of “human stem cell or gene diagnostic and therapeutic technologies,” Adicet Shanghai and Shanghai Adicet would be prohibited from engaging in the research or development of such technologies. It is also noted that in September 2024, Ministry of Commerce, National Healthcare Commission and National Medical Products Administration of PRC jointly announce a pilot policy (2024 Pilot Policy) to allow foreign invested entities in Free Trade Zone of Beijing, Shanghai, Guangdong and Hainan to develop human stem cell or gene diagnostic and therapeutic technologies, pursuant to which Shanghai Adicet, whose registered address is within the territory of Free Trade Zone of Shanghai, conduct our research and development activities in PRC.</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Any of the above factors may affect the development, approval and commercialization of our product candidates, which could have a material adverse effect on our business and financial condition.</w:t>
      </w:r>
    </w:p>
    <w:p>
      <w:pPr>
        <w:pStyle w:val="TextBody"/>
        <w:bidi w:val="0"/>
        <w:spacing w:before="240" w:after="283"/>
        <w:jc w:val="both"/>
        <w:rPr>
          <w:rFonts w:ascii="Times New Roman" w:hAnsi="Times New Roman"/>
          <w:sz w:val="20"/>
        </w:rPr>
      </w:pPr>
      <w:r>
        <w:rPr>
          <w:rFonts w:ascii="Times New Roman" w:hAnsi="Times New Roman"/>
          <w:b/>
          <w:i/>
          <w:color w:val="000000"/>
          <w:sz w:val="20"/>
        </w:rPr>
        <w:t>The uncertainties in the PRC legal system regarding the Foreign Investment Law may subject our contractual arrangements to different interpretations or enforcement challenges, or subject us to severe penalties or force us to relinquish our interests in our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May 2024, we formed Adicet Shanghai, located in Shanghai, PRC, as a wholly owned subsidiary of Adicet Therapeutics. Through Adicet Shanghai, we operate our business in PRC pursuant to a series of contractual arrangements between Adicet Shanghai and Shanghai Adicet, and the Shanghai Adicet's shareholders, which enable us to (i) direct the activities of Shanghai Adicet that most significantly impact Shanghai Adicet’s economic performance, (ii) receive substantially all of the economic benefits of Shanghai Adicet and its subsidiary, and (iii) have an exclusive option to purchase all or part of the equity interests and assets in Shanghai Adicet, when and to the extent permitted by PRC laws. As a result of these contractual arrangements, Adicet Therapeutics is considered the primary beneficiary of Shanghai Adicet and Shanghai Adicet’s subsidiaries (if any) for accounting purposes and is able to consolidate the financial results of Shanghai Adicet in the consolidated financial statements in accordance with accounting principles generally accepted in the United States of America. Investors in our common stock do not hold any ownership interest, directly or indirectly, in Shanghai Adicet in China, and we merely have a contractual relationship with the operating entity in China.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PRC legal counsel based on its understanding of the relevant laws and regulations, is of the opinion that (i) the ownership structure of Adicet Shanghai and Shanghai Adicet are in compliance with applicable PRC laws or regulations and (ii) such contractual arrangements constitute valid, legal and binding obligations enforceable against each party of such agreements in accordance with the terms of each agreement, and will not result in any violation of PRC laws or regulations currently in effect. However, our PRC legal counsel has also advised us that there are substantial uncertainties regarding the interpretation and application of current and future PRC laws, regulations and rules. Accordingly, the PRC regulatory authorities may take a view that is contrary to the opinion of our PRC legal counsel.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Following the 2024 Pilot Policy which allows foreign invested entities in Free Trade Zone of Beijing, Shanghai, Guangdong and Hainan to develop human stem cell or gene diagnostic and therapeutic technologies, Adicet Therapeutics entered into an equity transfer agreement with the then-stockholders of Shanghai Adicet to acquire 100% equity interests of Shanghai Adicet from its then-stockholders (the Acquisition). In connection with the Acquisition, tax filings and registration with the Administration for Market Regulation of Shanghai Adicet were completed in August 2025. Upon completion of the registration, Shanghai Adicet is now a wholly owned subsidiary of Adicet Therapeutics and will continue to conduct research and development activities in China, and the contractual arrangements between Adicet Shanghai and Shanghai Adicet is terminated accordingly.</w:t>
      </w:r>
    </w:p>
    <w:p>
      <w:pPr>
        <w:pStyle w:val="TextBody"/>
        <w:bidi w:val="0"/>
        <w:spacing w:before="240" w:after="283"/>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Changes in U.S. and Chinese regulations may impact our business, financial condition, and our operating results.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U.S. government, including the SEC, has made statements and taken certain actions that led to changes to United States and international relations, and will impact companies with connections to the United States or China, including imposing several rounds of tariffs affecting certain products manufactured in China, imposing certain sanctions and restrictions in relation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to China and issuing statements indicating enhanced review of companies with certain operations based in China. It is unknown whether and to what extent new legislation, executive orders, tariffs, laws or regulations will be adopted, or the effect that any such actions would have on companies with significant connections to the United States or to China, our industry or on us. We conduct research activities and have business operations both in the United States and China. Any unfavorable government policies on cross-border relations and/or international trade, including increased scrutiny on companies with certain operations based in China, capital controls or tariffs, may affect the competitive position of our product candidates, the hiring of scientists and other research and development personnel, the demand for our product candidates, the import or export of raw materials in relation to drug development, our ability to raise capital, or prevent us from selling our product candidates in certain countries. Furthermore, the SEC has issued statements primarily focused on companies with certain operations based in China, such as us. For example, in 2021, the Chairman of the SEC, issued a Statement on Investor Protection Related to Recent Developments in China, pursuant to which he stated that he has asked the SEC staff to engage in targeted additional reviews of filings for companies with certain operations based in China. The statement also addressed risks inherent in companies with variable interest entity structures.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any new legislation, executive orders, tariffs, laws and/or regulations are implemented, if existing trade agreements are renegotiated or if the U.S. or Chinese governments take retaliatory actions due to the recent U.S.-China tension, such changes could have an adverse effect on our business,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be restricted from transferring our scientific data abroad.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March 17, 2018, the General Office of the PRC State Council promulgated the Measures for the Management of Scientific Data (the Scientific Data Measures), which provide a broad definition of scientific data and relevant rules for the management of scientific data. According to the Scientific Data Measures, enterprises in China must seek governmental approval before any scientific data involving a state secret may be transferred abroad or to foreign parties. Further, researchers conducting research funded, at least in part, by the PRC government may be required to submit relevant scientific data for management by the entity to which such researcher is affiliated before such data may be published in any foreign academic journal. Currently, as the term “state secret” is not clearly defined, there is no assurance that we can always obtain relevant approvals for sending scientific data (such as the results of our preclinical studies or clinical trials conducted within China) abroad, or to our foreign partners in China.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are unable to obtain the necessary approvals in a timely manner, or at all, our research and development of product candidates may be hindered, which may materially and adversely affect our business, results of operations, financial conditions and prospects. If relevant government authorities consider the transmission of our scientific data to be in violation of the requirements under the Scientific Data Measures, we may be subject to specific administrative penalties imposed by those government authorities.</w:t>
      </w:r>
    </w:p>
    <w:p>
      <w:pPr>
        <w:pStyle w:val="TextBody"/>
        <w:bidi w:val="0"/>
        <w:jc w:val="both"/>
        <w:rPr>
          <w:rFonts w:ascii="Times New Roman" w:hAnsi="Times New Roman"/>
          <w:b/>
          <w:i/>
          <w:color w:val="000000"/>
          <w:sz w:val="20"/>
        </w:rPr>
      </w:pPr>
      <w:r>
        <w:rPr>
          <w:rFonts w:ascii="Times New Roman" w:hAnsi="Times New Roman"/>
          <w:b/>
          <w:i/>
          <w:color w:val="000000"/>
          <w:sz w:val="20"/>
        </w:rPr>
        <w:t>Compliance with China’s Data Security Law, Cyber Security Law, Personal Information Protection Law, regulations and guidelines relating to the multi-level protection scheme on cyber security and any other future laws and regulations may entail significant expenses and could affect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China has implemented an extensive legal framework governing data security, protection and privacy. China’s Data Security Law took effect in September 2021 and provided that the data processing activities must be conducted based on “data classification and hierarchical protection system” for the purpose of data protection and prohibits entities in China from transferring data stored in China to foreign law enforcement agencies or judicial authorities without prior approval by the Chinese government.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China’s Cyber Security Law, promulgated by the Standing Committee of the National People’s Congress, which came into effect in 2017, and the Administrative Measures for the Hierarchical Protection of Information Security promulgated by the Ministry of Public Security, National Administration of State Secrets Protection, State Cryptography Administration and other government authority in 2007, requires companies to take certain organizational, technical and administrative measures and other necessary measures to ensure the security of their networks and data stored on their networks. Specifically, the Cyber Security Law provides that China adopts a multi-level protection scheme (MLPS), under which network operators are required to perform obligations of security protection to ensure that the network is free from interference, disruption or unauthorized access, and prevent network data from being disclosed, stolen or tampered. Under the MLPS, entities operating information systems must have a thorough assessment of the risks and the conditions of their information and network systems to determine the level of the entity’s information and network systems. These levels range from the lowest Level 1 to the highest Level 5 pursuant to a series of national standards on the grading and implementation of the classified protection of cyber security. The grading result will determine the set of security protection obligations that entities must comply with. Entities classified as Level 2 or above should report the grade to the relevant government authority for examination and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Also, the Standing Committee of the National People’s Congress released the Personal Information Protection Law, which became effective in 2021. The Personal Information Protection Law provided a comprehensive set of data privacy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protection requirements that apply to the processing of personal information and expands data protection compliance obligations to cover the processing of personal information of persons by organizations and individuals in China, and the processing of personal information of persons in China outside of China if such processing is for purposes of providing products and services to, or analyzing and evaluating the behavior of, persons in China. The Personal Information Protection Law also provides that critical information infrastructure operators and personal information processing entities who process personal information meeting a volume threshold set by Chinese cyberspace regulators are also required to store in China personal information generated or collected in China, and to pass a security assessment administered by Chinese cyberspace regulators for any export of such personal information. Lastly, the Personal Information Protection Law contains proposals for significant fines for serious violations of up to Renminbi 50 million or 5% of annual revenues from the prior year and may also be ordered to suspend any related activity by competent authorities. Meanwhile, the State Council of the PRC promulgates the Regulations on the Administration of Network Data Security, which came into effect on January 1, 2025, and put forward a series of detailed requirements regarding data protection. With regard to the cross-border transfer of personal information, the Cyberspace Administration of China (CAC) released the Regulations on Promoting and Regulating Cross-border Data Flows in 2024. The Regulations on Promoting and Regulating Cross-border Data Flows establishes the latest regulatory framework for the cross-border transfer of personal information. The personal information handler should pass the security assessment, submit the standard contract signed for the provision of personal information abroad, or be certified by a specialized agency for the protection of personal information authentication before the cross-border transfer of the personal information when certain threshold provided in the Regulations on Promoting and Regulating Cross-border Data Flows is reached. Over the past year, the CAC has issued regulatory measures focused on data security and cross-border data flows, including the February 14, 2025, “Administrative Measures for Personal Information Protection Compliance Audits”, June 27, 2025, “Guidelines for the Declaration of Data Outbound Security Assessment (3rd Edition)”, and September 11, 2025, “Measures for the Administration of National Cybersecurity Incident Reporting”. In addition, the National Information Security Standardisation Technical Committee (TC260) issued its finalized “Cybersecurity Standard Practice Guidelines: Personal Information Protection Compliance Audit Requirements”. The CAC has also increased its enforcement activity, including a regulatory sweep focused on app and SDK developers. We expect the CAC and additional Chinese regulators to maintain a high level of scrutiny in the data security, cross-border data transfer and artificial intelligence space.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certain industry-specific laws and regulations affect the collection and transfer of data in the PRC. The Regulations on the Administration of Human Genetic Resources of the PRC (the HGR Regulation), promulgated by the State Council, came into effect in 2019 and was thereafter revised in 2024. It stipulates that foreign organizations, individuals, and the entities established or actually controlled by foreign organizations or individuals are forbidden to collect, preserve and export China’s human genetic resources. Foreign organizations and the entities established or actually controlled by foreign organizations or individuals may only utilize and be provided with China’s human genetic resources after satisfaction of all requirements under the HGR Regulation and other applicable laws, such as (i) China’s human genetic resources being utilized only in international cooperation with Chinese scientific research institutions, universities, medical institutions, and enterprises for scientific research and clinical trials after completion of requisite approval or filing formalities with competent governmental authorities, and (ii) China’s human genetic resources information being provided after required filing and information backup procedures have been gone through. In 2020, the Standing Committee of the National People’s Congress promulgated the Biosecurity Law of the PRC, which was later amended in 2024, and it reaffirms the regulatory requirements stipulated by the HGR Regulation while potentially increasing the administrative sanctions where China’s human genetic resources are collected, preserved, exported or used in international cooperation in violation of applicable laws. The Ministry of Science and Technology published the Implementing Rules for the Regulations on the Administration of Human Genetic Resources (the HGR Implementing Rules), which came into effect in 2023. The HGR Implementing Rules have, among other things, further clarified the scope of China’s human genetic resources information, improved the procedure rules for applicable approval, filing and security review, and refined the provisions with respect to the forbiddance on the collection, preservation and export of China’s human genetic resources by foreign organizations, individuals, and the entities established or actually controlled by foreign organizations or individuals. There remain significant uncertainties as to how various provisions of the HGR Regulation and the related laws and regulations may be interpreted and implemented. Given such uncertainty, although we have made great efforts to comply with mandatory requirements of laws and government authorities in this regard, we cannot assure you that we will be deemed at all times in full compliance with the HGR Regulation, the Biosecurity Law of the PRC, the HGR Implementing Rules and other applicable laws in our utilizing of and dealing with China’s human genetic resources. As a result, we may be exposed to compliance risks under the HGR Regulation, the Biosecurity Law of the PRC and the HGR Implementing Rules.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Interpretation, application and enforcement of these laws, rules and regulations evolve from time to time and their scope may continually change, through new legislation, amendments to existing legislation or changes in enforcement. Compliance with China’s new Cyber Security Law and Data Security Law could significantly increase the cost to us of providing our service offerings, require significant changes to our operations or even prevent us from providing certain service offerings in jurisdictions in which we currently operate or in which we may operate in the future. Despite our efforts to comply with applicable laws, regulations and other obligations relating to privacy, data protection and information security, it is possible that our practices, offerings or platform could fail to meet all of the requirements imposed on us by the Cyber Security Law, the Data Security Law and/or related implementing regulations. Any failure on our part to comply with such law or regulations or any other obligations relating to privacy, data protection or information security, or any compromise of security that results in unauthorized access, use or release of personally identifiable information or other data, or the perception or allegation that any of the foregoing types of failure or compromise has occurred, could damage our reputation, discourage new and existing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counterparties from contracting with us or result in investigations, fines, suspension or other penalties by Chinese government authorities and private claims or litigation, any of which could adversely affect our business, financial condition and results of operations. Even if our practices are not subject to legal challenge, the perception of privacy concerns, whether or not valid, may harm our reputation and brand and adversely affect our business, financial condition and results of operations. Moreover, the legal uncertainty created by the Data Security Law, the recent Chinese government actions could adversely affect our ability, on favorable terms, to raise capital, including engaging in follow-on offerings of our securities in the U.S. market.</w:t>
      </w:r>
    </w:p>
    <w:p>
      <w:pPr>
        <w:pStyle w:val="TextBody"/>
        <w:bidi w:val="0"/>
        <w:jc w:val="both"/>
        <w:rPr>
          <w:rFonts w:ascii="Times New Roman" w:hAnsi="Times New Roman"/>
          <w:b/>
          <w:i/>
          <w:color w:val="000000"/>
          <w:sz w:val="20"/>
        </w:rPr>
      </w:pPr>
      <w:r>
        <w:rPr>
          <w:rFonts w:ascii="Times New Roman" w:hAnsi="Times New Roman"/>
          <w:b/>
          <w:i/>
          <w:color w:val="000000"/>
          <w:sz w:val="20"/>
        </w:rPr>
        <w:t>Pharmaceutical companies operating in China are required to comply with extensive regulations and hold a number of permits and licenses to carry on their business. Our ability to obtain and maintain these regulatory approvals is uncertain, and future government regulation may place additional burdens on our current and planned operations in China.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pharmaceutical industry in China is subject to extensive government regulation and supervision. The regulatory framework addresses all aspects of operating in the pharmaceutical industry, including product development activities, clinical trials, registration, production, distribution, packaging, labeling, storage and shipment, advertising, licensing and post-approval pharmacovigilance certification requirements and procedures, periodic renewal and reassessment processes, data security and data privacy protection requirements and compliance and environmental protection. Violation of applicable laws and regulations may materially and adversely affect our business by impacting Shanghai Adicet through which we conduct certain research and development activities. The regulatory framework governing the pharmaceutical industry in China is subject to change and amendment from time to time. Any such change or amendment could materially and adversely impact our business, financial condition and prospects. The Chinese government has introduced various reforms to the Chinese healthcare system in recent years and may continue to do so, with an overall objective to expand basic medical insurance coverage and improve the quality and reliability of healthcare services. The specific regulatory changes under the various reform initiatives remain uncertain. The implementing measures to be issued may not be sufficiently effective to achieve the stated goals, and as a result, we may not be able to benefit from such reform to the extent we expect, if at all. Moreover, the various reform initiatives could give rise to regulatory developments, such as more burdensome administrative procedures, which may have an adverse effect on our business and prospects.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be exposed to liabilities under the FCPA, and similar anti-corruption and anti-bribery laws of China and other countries in which we operate, as well as U.S. and certain foreign export controls, trade sanctions and import laws and regulations. Compliance with these legal requirements could limit our ability to compete in foreign markets and any determination that we have violated these laws could have a material adverse effect on our business or our reputation.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operations are subject to the FCPA and similar anti-bribery or anti-corruption laws, regulations or rules of China and other countries in which we operate. The FCPA and these other laws generally prohibit us, our officers, and our employees and intermediaries from, directly or indirectly, offering, authorizing or making improper payments to non-U.S. government officials for the purpose of obtaining or retaining business or other advantage. We may engage third parties for clinical trials outside of the United States, to sell our products abroad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As our business expands, the applicability of the FCPA and other anti-bribery laws to our operations will increase. If our procedures and controls to monitor anti-bribery compliance fail to protect us from reckless or criminal acts committed by our employees or agents or if we, or our employees, agents, contractors or other collaborators, fail to comply with applicable anti-bribery laws, our reputation could be harmed and we could incur criminal or civil penalties, other sanctions and/or significant expenses, which could have a material adverse effect on our business, including our financial condition, results of operations, cash flows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or domestic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pStyle w:val="TextBody"/>
        <w:bidi w:val="0"/>
        <w:jc w:val="both"/>
        <w:rPr>
          <w:rFonts w:ascii="Times New Roman" w:hAnsi="Times New Roman"/>
          <w:sz w:val="20"/>
        </w:rPr>
      </w:pPr>
      <w:r>
        <w:rPr>
          <w:rFonts w:ascii="Times New Roman" w:hAnsi="Times New Roman"/>
          <w:b/>
          <w:i/>
          <w:color w:val="000000"/>
          <w:sz w:val="20"/>
        </w:rPr>
        <w:t>Any</w:t>
      </w:r>
      <w:r>
        <w:rPr>
          <w:rFonts w:ascii="Times New Roman" w:hAnsi="Times New Roman"/>
          <w:color w:val="000000"/>
          <w:sz w:val="20"/>
        </w:rPr>
        <w:t xml:space="preserve"> </w:t>
      </w:r>
      <w:r>
        <w:rPr>
          <w:rFonts w:ascii="Times New Roman" w:hAnsi="Times New Roman"/>
          <w:b/>
          <w:i/>
          <w:color w:val="000000"/>
          <w:sz w:val="20"/>
        </w:rPr>
        <w:t>failure to comply with Chinese regulations regarding the registration requirements for our employee equity incentive plans may subject us to fines and other legal or administrative sanctions, which could adversely affect our business,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2012, the State Administration of Foreign Exchange (SAFE) promulgated the Notices on Issues Concerning the Foreign Exchange Administration for Domestic Individuals Participating in Stock Incentive Plans of Overseas Publicly Listed Companies (the Stock Option Rules). In accordance with the Stock Option Rules and other relevant rules and regulations, Chinese citizens or non-Chinese citizens residing in China for a continuous period of not less than one year who participate in any stock incentive plan of an overseas publicly listed company, subject to a few exceptions, are required to register with SAFE through a domestic qualified agent, which could be a Chinese subsidiary of such overseas listed company, and complete certain procedures. Our employees who are Chinese citizens or who reside in China for a continuous period of not less than one year and who participate in our stock incentive plans are subject to such regulation. We plan to assist our employees to register their equity awards. However, any failure of our Chinese individual beneficial owners and holders of equity awards to comply with the SAFE registration requirements may subject them to fines and legal sanctions and may limit the ability of our Chinese subsidiaries to distribute dividends to us. We also face regulatory uncertainties that could restrict our ability to adopt additional incentive plans for our employees under Chinese law.</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Risks Related to Business Disruptions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Business disruptions, including armed conflicts, could substantially delay our clinical trials or seriously harm our future revenue and financial condition and increase our costs and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operations, and those of our CDMO, CROs and other contractors and consultants, could be subject to earthquakes, power shortages, telecommunications failures, water shortages, floods, hurricanes, typhoons, fires, extreme weather conditions, armed conflicts, medical epidemics, such as public health crises or other natural or man-made disasters or business interruptions. The occurrence of any of these business disruptions could seriously harm our operations and financial condition and increase our costs and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ability to manufacture our product candidates could be disrupted if our operations or those of our suppliers are affected by a man-made or natural disaster, the severity and frequency of which may be amplified by global climate change, or other business interruptions. We have facilities located in California near major earthquake faults and fire zones. The ultimate impact on us, our significant suppliers and our general infrastructure of being located near major earthquake faults and fire zones and being consolidated in certain geographical areas is unknown, but our operations and financial condition could suffer in the event of a major earthquake, fire or other natural disaster.</w:t>
      </w:r>
    </w:p>
    <w:p>
      <w:pPr>
        <w:pStyle w:val="TextBody"/>
        <w:bidi w:val="0"/>
        <w:spacing w:before="120" w:after="160"/>
        <w:jc w:val="both"/>
        <w:rPr>
          <w:rFonts w:ascii="Times New Roman" w:hAnsi="Times New Roman"/>
          <w:sz w:val="20"/>
        </w:rPr>
      </w:pPr>
      <w:r>
        <w:rPr>
          <w:rFonts w:ascii="Times New Roman" w:hAnsi="Times New Roman"/>
          <w:b/>
          <w:i/>
          <w:color w:val="000000"/>
          <w:sz w:val="20"/>
        </w:rPr>
        <w:t>Global conflicts may increase the likelihood of supply or clinical trial interruptions which could impact our ability to find the materials we need to make our product candidates or conduct our clinical trials.</w:t>
      </w:r>
      <w:r>
        <w:rPr>
          <w:rFonts w:ascii="Times New Roman" w:hAnsi="Times New Roman"/>
          <w:color w:val="000000"/>
          <w:sz w:val="20"/>
        </w:rPr>
        <w:t xml:space="preserve">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Ongoing conflicts, including conflicts between Russia and Ukraine and Israel and Hamas and a deterioration in the bilateral relationship between the United States and PRC, may increase the likelihood of supply or clinical trial interruptions and hinder our ability to find the materials we need to make our product candidates or conduct our clinical trials. Supply disruptions make it more difficult for us to find favorable pricing and reliable sources for the materials we need, which increases pressure on our costs and increases the risk that we may be unable to acquire the necessary goods and services to successfully manufacture our product candidates. If we were to encounter difficulties related to global conflicts, our ability to provide our product candidates and to conduct our preclinical studies or clinical trials, such as our ongoing, planned, or future clinical trials of prula-cel, could be delayed or suspended. Any delay or interruption in the supply of trial materials or disruption to the clinical trial itself could delay the completion of such trials, increase the costs associated with maintaining these research and development activities and, depending upon the period of delay, require us to commence new preclinical studies or clinical trials at additional expense or terminate such trials completely.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Changes in the political and economic policies or in relations between China and the United States may affect our business,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Due to our operations in China, our business, results of operations, financial condition and prospects may be influenced to a certain degree by economic, political, legal and social conditions in China or changes in government relations between China and the United States or other governments. The Chinese government may intervene in or influence our operations, which could result in a change in our operations. Any economic downturn, whether actual or perceived, further decrease in economic growth rates or an otherwise uncertain economic outlook could affect our business, financial condition and results of operations. In addition, the global macroeconomic environment is facing challenges. It is unclear whether these challenges and uncertainties will be contained or resolved, and what effects they may have on the global political and economic conditions, and our business operations in the long term. There is significant uncertainty about the future relationship between the United States and China with respect to trade policies, treaties, government regulations and tariffs. The Chinese government has implemented various measures to encourage economic development and guide the allocation of resources. Some of these measures may benefit the overall Chinese economy, but may have a negative effect on us. Due to our operations in China, any future Chinese, U.S. or other rules and regulations that place restrictions on capital raising or other activities by companies with operations in China could affect our business and results of operations. If the business environment in China deteriorates from the perspective of domestic or international investment, or if relations between China and the United States or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governments deteriorate and geopolitical tensions between China and the United States increase, our business in China and United States may also be affected.</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Inadequate funding and/or staffing for the FDA, the SEC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approval of our product candidates rely, which would negatively impact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Without appropriation of necessary funding to federal agencies, our business operations related to our product development activities for the U.S. market could be impacted. The ability of the FDA to review and approve new products can be affected by a variety of factors, including government budget and funding levels, adequate staffing, furloughs, ability to hire and retain key personnel and accept the payment of user fees, and statutory, regulatory, leadership and policy changes. Average review times at the agency have fluctuated in recent years as a result. For example, in 2025, changes and cuts in FDA staffing have been reported as resulting in delays in the FDA’s responsiveness or in its ability to review IND submissions or marketing applications. In addition, government funding of other government agencies on which our operations may rely, including those that fund research and development activities is subject to the political process, which is inherently fluid and unpredictable.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example, the U.S. government has shut down several times, and certain regulatory agencies, such as the FDA and the SEC, in some instances have had to furlough critical employees and stop critical activities. If a prolonged government shutdown occurs or a widespread freeze on federal funding continues or occurs in the future, it could significantly impact the ability of the FDA to timely review and process our regulatory submissions, which could have a material adverse effect on our business, including our ability to access the public markets and obtain necessary capital in order to properly capitalize and continue our operations. Further, future government shutdowns could impact our ability to access the public markets and obtain necessary capital in order to properly capitalize and continue to fund our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following the change in the U.S. presidential administration in 2025, there is substantial uncertainty as to the extent and manner in which the U.S. government will seek to modify or revise the requirements and policies of the FDA and other regulatory agencies with jurisdiction over our product candidates and any products for which we obtain approval. This uncertainty could present new challenges and/or opportunities as we navigate development and approval of our product candidates. Additionally, the administration could issue or promulgate executive orders, regulations, policies or guidance that adversely affect us or create a more challenging or costly environment to pursue the development of new therapeutic candidates. Also, state governments may seek to address or react to changes at the federal level with changes to their regulatory frameworks in a manner that could impact our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Significant political, trade, regulatory developments, and other circumstances beyond our control, could have a material adverse effect on our financial condition or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operate globally and, if approved, we may sell our products in countries throughout the world. Significant political, trade, or regulatory developments in the jurisdictions in which we may sell our products, such as those stemming from the change in U.S. federal administration, are difficult to predict and may have a material adverse effect on us. Similarly, changes in U.S. federal policy that affect the geopolitical landscape could give rise to circumstances outside our control that could have negative impacts on our business operations. For example, the implementation of tariffs by the U.S. government have led to increased trade and political tensions, between not only the U.S. and China, but also between the U.S. and other countries in the international community. In response to tariffs, other countries have implemented and may in the future implement additional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Any changes in political, trade, regulatory, and economic conditions, including U.S. trade policies, could have a material adverse effect on our business, financial condition or results of operations. </w:t>
      </w:r>
    </w:p>
    <w:p>
      <w:pPr>
        <w:pStyle w:val="TextBody"/>
        <w:bidi w:val="0"/>
        <w:spacing w:before="360" w:after="283"/>
        <w:jc w:val="both"/>
        <w:rPr>
          <w:rFonts w:ascii="Times New Roman" w:hAnsi="Times New Roman"/>
          <w:color w:val="000000"/>
          <w:sz w:val="20"/>
          <w:u w:val="single"/>
        </w:rPr>
      </w:pPr>
      <w:r>
        <w:rPr>
          <w:rFonts w:ascii="Times New Roman" w:hAnsi="Times New Roman"/>
          <w:color w:val="000000"/>
          <w:sz w:val="20"/>
          <w:u w:val="single"/>
        </w:rPr>
        <w:t>Risks Related to Healthcare Regulation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relationships with customers, physicians including clinical investigators, CROs and third-party payors are subject, directly or indirectly, to federal and state healthcare fraud and abuse laws, false claims laws, health information privacy and security laws, transparency laws, government price reporting and other healthcare laws and regulations. If we or our employees, independent contractors, consultants, commercial partners, vendors, or other agents violate these laws, we could face substantial penalties.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These laws may impact, among other things, our clinical research program, as well as our proposed and future sales, marketing and education programs. In particular, the promotion, sales and marketing of healthcare items and services is subject to extensive laws and regulations designed to prevent fraud, kickbacks, self-dealing and other abusive practices. These laws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and regulations may restrict or prohibit a wide range of pricing, discounting, marketing and promotion, sales commission, customer incentive and other business arrangements. We may also be subject to federal, state and foreign laws governing the privacy and security of identifiable patient information. For further discussion on U.S. healthcare regulations, see the section entitled “</w:t>
      </w:r>
      <w:r>
        <w:rPr>
          <w:rFonts w:ascii="Times New Roman" w:hAnsi="Times New Roman"/>
          <w:i/>
          <w:color w:val="000000"/>
          <w:sz w:val="20"/>
        </w:rPr>
        <w:t>Business–Government Regulation and Product Approval—Other U.S. Healthcare Laws and Compliance Requirements</w:t>
      </w:r>
      <w:r>
        <w:rPr>
          <w:rFonts w:ascii="Times New Roman" w:hAnsi="Times New Roman"/>
          <w:color w:val="000000"/>
          <w:sz w:val="20"/>
        </w:rPr>
        <w:t>” in our Annual Report on Form 10-K for the year ended December 31,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scope and enforcement of each of these laws is uncertain and subject to rapid change in the current environment of healthcare reform. Federal and state enforcement bodies have recently increased their scrutiny of interactions between healthcare companies and healthcare providers, which has led to a number of investigations, prosecutions, convictions and settlements in the healthcare industry. Because of the breadth of these laws and the narrowness of the statutory exceptions and regulatory safe harbors available, it is possible that some of our business activities, or our arrangements with physicians, could be subject to challenge under one or more of such laws. If we or our employees, independent contractors, consultants, commercial partners and vendors violate these laws, we may be subject to investigations, enforcement actions and/or significant penalties.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adopted a code of business conduct and ethics, but it is not always possible to identify and deter employee misconduct or business noncompliance,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themselves or asserting our rights, those actions could have a significant impact on our business, including the imposition of civil, criminal and administrative penalties, damages, disgorgement, debarment, monetary fines, possible exclusion from participation in Medicare, Medicaid and other federal healthcare programs, contractual damages, reputational harm, diminished profits and future earnings, additional reporting requirements and/or oversight if we become subject to a corporate integrity agreement or similar agreement to resolve allegations of non-compliance with these laws and curtailment of our operations, any of which could adversely affect our ability to operate our business and our results of operations. In addition, the approval and commercialization of any of our product candidates outside the United States will also likely subject us to foreign equivalents of the healthcare laws mentioned above, among other foreign laws.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Data protection, privacy and similar laws restrict access, use, and disclosure of information, and failure to comply with or adapt to changes in these laws could materially and adversely harm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subject to federal and state data privacy and security laws and regulations, and laws and expectations relating to privacy continue to evolve. Changes in these laws may limit our data access, use and disclosure, and may require increased expenditures. In addition, data protection, privacy and similar laws protect more than patient information and, although they vary by jurisdiction, these laws can extend to employee information, business contact information, provider information, and other information relating to identifiable individuals. For example, the California Consumer Privacy Act (CCPA) requires covered businesses to, among other things, provide notices to California consumers regarding the collection, use and disclosure of such consumers’ personal information and afford such consumers new rights with respect to their personal information, including the right to opt out of certain sales of personal information. In addition, the California Privacy Rights Act (CPRA), which amended the CCPA, became effective on January 1, 2023 and imposed additional obligations on companies covered by the legislation. The CPRA modified the CCPA and has created a state agency that is vested with authority to implement and enforce the CCPA. There are also states that are specifically regulating health information or specific types of information, such as biometric information, and regulators and legislators are continuing to propose and adopt new laws and regulations protecting privacy and certain types of personal information. For example, Washington’s My Health My Data Act (MHMDA) regulates the collection and sharing of consumer health information and includes a private right of action, which further increases compliance risks.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Given the breadth and depth of changes in privacy, data protection and consumer protection obligations, preparing for and complying with these requirements is rigorous and time intensive and requires significant resources and ongoing review of our technologies, systems and practices, as well as those of any third-party collaborators, service providers, contractors or consultants that store, process or transfer personal data on our behalf. Compliance with such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increase our cost of doing business. Any failure or perceived failure by us to comply with such laws and regulations could lead to government enforcement actions, private litigation and significant fines and penalties against us and could have a material adverse effect on our business, financial condition or results of operations. There is also the threat of consumer class actions related to these laws and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overall protection of personal data. Even if we are not determined to have violated these laws, government investigations into these issues typically require the expenditure of significant resources and generate negative publicity, which could harm our reputation and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collection and use of personal health data in the European Economic Area (EEA) is governed by the General Data Protection Regulation (EU GDPR) and the United Kingdom’s General Data Protection Regulation (UK GDPR, together with the EU GDPR, GDPR). The GDPR applies to any company established in the EEA and to companies established outside the EEA that process personal data in connection with the offering of goods or services to data subjects in the EEA or the monitoring of the behavior of data subjects in the EEA. The GDPR enhances data protection obligations for controllers of personal data, including stringent requirements relating to ensuring an appropriate legal basis or condition applies to the processing of personal data, stricter requirements relating to obtaining consent from data subjects, stricter requirements around the collection of sensitive data (such as health data), expanded disclosures about how personal data is used, requirements to conduct data protection impact assessments for “high risk” processing, limitations on retention of personal data, mandatory data breach notification and “privacy by design” requirements, implementing safeguards to protect the security and confidentiality of personal data and creates direct obligations on service providers acting as processors. The GDPR also imposes strict rules on the transfer of personal data outside of the EEA to countries that do not ensure an adequate level of protection, like the United States.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the EU GDPR and the UK GDPR currently impose substantially similar obligations, it is possible that over time the UK GDPR could become less aligned with the GDPR. On June 19, 2025, the UK Government adopted the Data (Use and Access) Act 2025 (the DUAA). This may lead to additional compliance costs and could increase our overall risk. This lack of clarity on future UK laws and regulations and their interaction with EU laws and regulations could add legal risk, uncertainty, complexity and cost to our handling of EU personal information and our privacy and data security compliance programs and could require us to implement different compliance measures for the UK and the EU. Non-compliance with the UK GDPR may result in monetary penalties of up to £17.5 million or 4% of worldwide revenue, whichever is higher. Although the UK is regarded as a third country under the EU GDPR, the European Commission issued a decision recognizing the UK as providing adequate protection under the EU GDPR and, therefore, transfers of personal data originating in the EU to the UK remain unrestricted (UK Adequacy Decision). In December 2025, the European Commission adopted a decision to extend the validity of the UK adequacy decision for six years until December 2031, determining that the UK continues to offer a level of data protection that is “essentially equivalent” to the EU standards. Like the EU GDPR, the UK GDPR restricts personal data transfers outside the United Kingdom to countries not regarded by the United Kingdom as providing adequate protection. The UK government has confirmed that personal data transfers from the United Kingdom to the EEA remain free flowing.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enable the transfer of personal data outside of the EEA or the UK, adequate safeguards must be implemented in compliance with European and UK data protection laws. The European Commission has issued forms of standard contractual clauses for data transfers from controllers or processors in the EU/EEA (or otherwise subject to the GDPR) to controllers or processors established outside the EU/EEA (and not subject to the GDPR). The UK is not subject to the EC’s new standard contractual clauses but has published the UK International Data Transfer Agreement and International Data Transfer Addendum to the new standard contractual clauses (the IDTA), which enable transfers from the UK. For new transfers, the IDTA already needs to be in place, and must be in place for all existing transfers from the UK from March 21, 2024 Companies relying on standard contractual clauses to govern transfers of personal data to third countries (in particular the United States) will need to assess whether the data importer can ensure sufficient guarantees for safeguarding the personal data under GDPR. This assessment includes assessing whether third party vendors can also ensure these guarantees. The same assessment is required for transfers governed by the IDTA. Further, the EU and United States have adopted its adequacy decision for the EU-U.S. Data Privacy Framework (Framework), which entered into force on July 11, 2023. This Framework provides that the protection of personal data transferred between the EU and the United States is comparable to that offered in the EU. This provides a further avenue to ensuring transfers to the United States are carried out in line with GDPR. There has been an extension to the Framework to cover UK transfers to the United States. The Framework has already been challenged and could be invalidated like its predecessor frameworks. We are required to implement these new safeguards when conducting restricted data transfers under the GDPR and doing so will require significant effort and cost.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Failure to comply with the requirements of the GDPR and the related national data protection laws of the EEA Member States may result in fines up to €20 million (or £17.5 million in the UK) or 4% of a company’s global annual revenues for the preceding financial year, whichever is higher. Moreover, the GDPR grants data subjects the right to claim material and non-material damages resulting from infringement of the GDPR or UK GDPR. Given the breadth and depth of changes in data protection obligations, maintaining compliance with the GDPR, will require significant time, resources and expense, and we may be required to put in place additional mechanisms ensuring compliance with the new data protection rules. This may be onerous and adversely affect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many other jurisdictions outside of Europe are also considering and/or enacting new and/or amended comprehensive data protection legislation. We also continue to see jurisdictions imposing data localization laws. These regulations may interfere with our intended business activities, inhibit our ability to expand into those markets or prohibit us from continuing to offer services in those markets without significant additional costs. Because the interpretation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application of many privacy and data protection laws (including the GDPR), commercial frameworks, and standards are uncertain, it is possible that these laws, frameworks, and standards may be interpreted and applied in a manner that is inconsistent with our existing data management practices and policies. If so, in addition to the possibility of fines, lawsuits, breach of contract claims, and other claims and penalties, we could be required to fundamentally change our business activities and practices or modify our solutions, which could have an adverse effect on our business. Any inability to adequately address privacy and security concerns, even if unfounded, or comply with applicable privacy and security or data security laws, regulations, and policies, could result in additional cost and liability to us, damage our reputation, inhibit our ability to conduct trials, and adversely affect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Data protection, privacy and similar laws protect more than patient information and, although they vary by jurisdiction, these laws can extend to employee information, business contact information, provider information, and other information relating to identifiable individuals. Failure to comply with these laws may result in, among other things, civil and criminal liability, negative publicity, damage to our reputation, and liability under contractual provisions. In addition, compliance with such laws may require increased costs to us or may dictate that we not offer certain types of services in the future.</w:t>
      </w:r>
    </w:p>
    <w:p>
      <w:pPr>
        <w:pStyle w:val="TextBody"/>
        <w:bidi w:val="0"/>
        <w:jc w:val="left"/>
        <w:rPr>
          <w:rFonts w:ascii="Times New Roman" w:hAnsi="Times New Roman"/>
          <w:b/>
          <w:i/>
          <w:color w:val="000000"/>
          <w:sz w:val="20"/>
        </w:rPr>
      </w:pPr>
      <w:r>
        <w:rPr>
          <w:rFonts w:ascii="Times New Roman" w:hAnsi="Times New Roman"/>
          <w:b/>
          <w:i/>
          <w:color w:val="000000"/>
          <w:sz w:val="20"/>
        </w:rPr>
        <w:t>Artificial intelligence presents risks and challenges that can impact our business including by posing security risks to our confidential information, proprietary information, and personal data.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Issues in the development and use of artificial intelligence, combined with an uncertain regulatory environment, may result in reputational harm, liability, or other adverse consequences to our business operations. As with many technological innovations, artificial intelligence presents risks and challenges that could impact our business. We expect to see increasing government and supranational regulation related to artificial intelligence use and ethics, which may also significantly increase the burden and cost of research, development and compliance in this area. For example, the EU’s Artificial Intelligence Act (AI Act) — the world’s first comprehensive AI law – which has entered into force on August 1, 2024 and most provisions of which will become effective on August 2, 2026. This legislation imposes significant obligations on providers and deployers of high risk artificial intelligence systems, and encourages providers and deployers of artificial intelligence systems to account for EU ethical principles in their development and use of these systems. If we develop or use AI systems that are governed by the AI Act, it may necessitate ensuring higher standards of data quality, transparency, and human oversight, as well as adhering to specific and potentially burdensome and costly ethical, accountability, and administrative requirements. Furthermore, in the U.S., a number of states have proposed and passed laws regulating various uses of AI, and federal regulators have issued guidance affecting the use of AI in regulated sectors.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may adopt and integrate generative artificial intelligence tools into our systems for specific use cases reviewed by legal and information security, including as informed by regulatory guidance. Our vendors may incorporate generative artificial intelligence tools into their offerings without disclosing this use to us,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 If we, our vendors, or our third-party partners experience an actual or perceived breach or privacy or security incident because of the use of generative artificial intelligence, we may lose valuable intellectual property and confidential information and our reputation and the public perception of the effectiveness of our security measures could be harmed. Further, bad actors around the world use increasingly sophisticated methods, including the use of artificial intelligence,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Risks Related to Our Financial Position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its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(SVB) was closed by the California Department of Financial Protection and Innovation, which appointed the Federal Deposit Insurance Corporation (FDIC) as receiver. Similarly, on March 12, 2023, Signature Bank and Silvergate Capital Corp. were each swept into receivership. Although a statement by the Department of the Treasury, the Federal Reserve and the FDIC stated all depositors of SVB would have access to all of their money after only one business day of closure, including funds held in uninsured deposit accounts, borrowers under credit agreements, letters of credit and certain other financial instruments with SVB, Signature Bank or any other financial institution that is placed into receivership by the FDIC may be unable to access undrawn amounts thereunder. Although we are not a borrower or party to any such instruments with SVB, Signature or any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financial institution currently in receivership, if any of our lenders or counterparties to any such instruments were to be placed into receivership, we may be unable to access such funds. In addition, counterparties to SVB credit agreements and arrangements, and third parties such as beneficiaries of letters of credit (among others), may experience direct impacts from the closure of SVB and uncertainty remains over liquidity concerns in the broader financial services industry. Similar impacts have occurred in the past, such as during the 2008-2010 financial crisis.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There is no guarantee that the U.S. Department of Treasury, FDIC and Federal Reserve Board will provide access to uninsured funds in the future in the event of the closure of other banks or financial institutions, or that they would do so in a timely fashion.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delayed access to deposits or other financial assets or the uninsured loss of deposits or other financial assets;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of access to revolving existing credit facilities or other working capital sources and/or the inability to refund, roll over or extend the maturity of, or enter into new credit facilities or other working capital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or actual breach of contractual obligations that require us to maintain letters or credit or other credit support arrangements;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or actual breach of financial covenants in our credit agreements or credit arrangements;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or actual cross-defaults in other credit agreements, credit arrangements or operating or financing agreements;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termination of cash management arrangements and/or delays in accessing or actual loss of funds subject to cash management arrangements.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in the past failed and may in the future fail to achieve and maintain effective internal control over financial reporting could harm our business and negatively impact the value of our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Any testing by us conducted in connection with Section 404,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may identify other areas for further attention or improvement. Inferior internal controls could also cause investors to lose confidence in our reported financial information, which could have a negative effect on the trading price of our stock.</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We are required to disclose changes made in our internal controls and procedures on a quarterly basis and our management is required to assess the effectiveness of these controls annually. However, for as long as we are non-accelerated filer, our independent registered public accounting firm will not be required to attest to the effectiveness of our internal control over financial reporting pursuant to Section 404 of the Sarbanes-Oxley Act of 2002, as amended. We will remain a non-accelerated filer as long as we qualify to be a “smaller reporting company” under Rule 12b-2 of the Exchange Act, which will be for as long as either (i) the market value of our common stock held by non-affiliates is less than $250.0 million or (ii) our annual revenue is less than $100.0 million during the most recently completed fiscal year and the market value of our common stock held by non-affiliates is less than $700.0 million as of the prior June 30. An independent assessment of the effectiveness of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Pursuant to Section 404, we are required to furnish a report by our management on our internal control over financial reporting. To continue to achieve and maintain compliance with Section 404, we engage in a process to document and evaluate our internal control over financial reporting, which is both costly and challenging. In this regard, we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from time to time we may not be able to conclude that our internal control over financial reporting is effective as required by Section 404.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expect to continue our efforts to improve our control processes, though there can be no assurance that our efforts will ultimately be successful or avoid potential future material weaknesses, and we expect to continue incurring additional costs as a result of these efforts. If we are unable to successfully remediate any future material weaknesses in our internal control over financial reporting, or if we identify any additional material weaknesses,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also could become subject to investigations by Nasdaq, the SEC or other regulatory authorities, which could harm our reputation and our financial condition, or divert financial and management resources from our core business.</w:t>
      </w:r>
    </w:p>
    <w:p>
      <w:pPr>
        <w:pStyle w:val="TextBody"/>
        <w:bidi w:val="0"/>
        <w:spacing w:before="0" w:after="240"/>
        <w:jc w:val="both"/>
        <w:rPr>
          <w:rFonts w:ascii="Times New Roman" w:hAnsi="Times New Roman"/>
          <w:sz w:val="20"/>
        </w:rPr>
      </w:pPr>
      <w:r>
        <w:rPr>
          <w:rFonts w:ascii="Times New Roman" w:hAnsi="Times New Roman"/>
          <w:b/>
          <w:i/>
          <w:color w:val="000000"/>
          <w:sz w:val="20"/>
        </w:rPr>
        <w:t>We have previously identified material weaknesses in our internal control over financial reporting and may identify additional material weaknesses in the future. If we fail to remediate a material weakness or if we otherwise fail to establish and maintain effective control over financial reporting, it may adversely affect our ability to accurately and timely report our financial results, and may adversely affect investor confidence and business operations.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During the fourth quarter of 2024, we identified a material weakness in our internal control over financial reporting which relates to cash disbursements. We concluded that this material weakness in our internal control over financial reporting occurred due to our internal controls having not been adequately designed to prevent or timely detect unauthorized cash disbursements. We concluded that the remediation steps taken have been sufficient to remediate this material weakness as of the date of our Annual Report on Form 10-K for the year ended December 31, 2024.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are focused on designing and implementing effective internal controls measures to improve our evaluation of disclosure controls and procedures, including internal control over financial reporting, and remediating the material weaknesses. We have taken steps to remediate including consulting with experts on technical accounting matters and in the preparation of our financial statements.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However, we cannot assure you that the measures we are taking to remediate the material weaknesses will prevent or avoid potential future material weaknesses. Further, additional weaknesses in our disclosure controls and internal controls over financial reporting may be discovered in the future. Any failure to develop or maintain effective controls or any difficulties encountered in their implementation or improvement could limit our ability to prevent or detect a misstatement of our accounts or disclosures that could result in a material misstatement of our annual or interim financial statements. In such a case, we may be unable to maintain compliance with securities law requirements regarding timely filing of periodic reports in addition to the listing requirements of Nasdaq, investors may lose confidence in our financial reporting and our stock price may decline as a result.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Risks Related to Taxation</w:t>
      </w:r>
    </w:p>
    <w:p>
      <w:pPr>
        <w:pStyle w:val="TextBody"/>
        <w:bidi w:val="0"/>
        <w:spacing w:before="240" w:after="283"/>
        <w:jc w:val="both"/>
        <w:rPr>
          <w:rFonts w:ascii="Times New Roman" w:hAnsi="Times New Roman"/>
          <w:sz w:val="20"/>
        </w:rPr>
      </w:pPr>
      <w:r>
        <w:rPr>
          <w:rFonts w:ascii="Times New Roman" w:hAnsi="Times New Roman"/>
          <w:b/>
          <w:i/>
          <w:color w:val="000000"/>
          <w:sz w:val="20"/>
        </w:rPr>
        <w:t>Our ability to utilize our net operating loss carryforwards and certain other tax attributes may be limited.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Under Section 382 and Section 383 of the Internal Revenue Code of 1986 (IRC), as amended, if a corporation undergoes an “ownership change” (generally defined as one or more shareholders or groups of shareholders who own at least 5 percent of the corporation’s equity increasing their equity ownership in the aggregate by a greater than 50 percentage point change (by value) over a three-year period), the corporation’s ability to use its pre-change net operating loss carryforwards and certain other pre-change tax attributes to offset its post-change income may be limited. Similar rules may apply under state tax laws. We may have experienced such ownership changes in the past, and we may experience ownership changes in the future as a result of subsequent shifts in our stock ownership. As of December 31, 2025, we had federal net operating loss carryforwards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of approximately $472.7 million, and our ability to utilize those net operating loss carryforwards could be limited by an “ownership change” as described above or subject to other limitations, which could potentially result in increased future tax liability to us.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U.S. Congress, the Trump administration, or any new administration may make substantial changes to fiscal, tax, and other federal policies that may adversely affect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rules dealing with U.S. federal, state and local income taxation are constantly under review by persons involved in the legislative process and by the Internal Revenue Service (IRS) and the U.S. Treasury Department. For example, the One Big Beautiful Bill Act (OBBBA) was signed into law on July 4, 2025 and made significant changes to U.S. federal tax law. Changes to tax laws (which changes may have retroactive application) could adversely affect us or holders of our common stock. For example, under Section 174 of the IRC, in taxable years beginning after December 31 2021, expenses that are incurred for research and development performed outside the U.S. will be capitalized and amortized, which may have an adverse effect on our cash flow. The OBBBA provides that for taxable years beginning after December 31, 2024, expenses that are incurred for research and development performed in the U.S. may, at the taxpayer’s election, be immediately deducted or capitalized and amortized. In addition, the OBBBA provides that for taxable years beginning after December 31, 2021 and before January 1, 2025, certain eligible taxpayers generally may elect to retroactively deduct expenses for research and development performed in the U.S. in such taxable years generally may elect to accelerate and deduct the remaining unamortized amounts of such research and development expenses (i) in the first taxable year beginning after December 31, 2024, or (ii) ratably over the two-taxable year period beginning with the first taxable year beginning after December 31, 2024. In recent years, many changes to tax laws have been made and changes are likely to continue to occur in the future.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since the start of the Trump Administration in 2025, U.S. policy changes have been implemented at a rapid pace and additional changes are likely. Changes to U.S. policy implemented by the U.S. Congress, the Trump administration or any new administration have impacted and may in the future impact, among other things, the U.S. and global economy, international trade relations, unemployment, immigration, healthcare, taxation, the U.S. regulatory environment, inflation and other areas. Although we cannot predict the impact, if any, of these changes to our business, they could adversely affect our business. Until we know what 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 You are urged to consult your tax advisor regarding the implications of potential changes in tax laws on an investment in our common stock.</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Risks Related to Third Parties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our collaboration with Regeneron is terminated, or if Regeneron materially breaches its obligations thereunder, our business, prospects, operating results, and financial condition would be materially harmed.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financial performance may be significantly affected by our Regeneron collaboration that we have entered into to develop next-generation engineered immune-cell therapeutics with fully human CARs and TCRs directed to disease-specific cell surface antigens in order to enable the precise engagement and killing of tumor cells. Under the Regeneron Agreement, Regeneron paid us a non-refundable upfront payment of $25.0 million and an aggregate of $20.0 million of additional payments for research funding as of June 30, 2026, and we will collaborate with Regeneron to identify and validate targets and develop a pipeline of engineered immune-cell therapeutics for selected targets. Regeneron has the option to obtain development and commercial rights for a certain number of the product candidates developed by the parties, subject to an option payment for each product candidate. On January 28, 2022, we received a payment of $20.0 million from Regeneron for exercise of its option to license exclusive rights to ADI-002, and we completed the transfer of the associated license rights to Regeneron in the first quarter of 2022. If Regeneron exercises its option on a given product candidate, we then have an option to participate in the development and commercialization for such product. If we do not exercise our option, we will be entitled to royalties on any future sales of such products by Regeneron. We did not exercise our option to participate in the development and commercialization of ADI-002. In addition to developing CARs and TCRs for use in novel immune-cell therapies as part of the collaboration, Regeneron will have the right to use these CARs and TCRs in our other antibody programs outside of the collaboration. Regeneron will also be entitled to royalties on any future sales of products developed and commercialized by us under the agreement. If Regeneron were to terminate our collaboration agreement with us, we may not have the resources or skills to replace those of our collaborator, which could require us to seek additional funding or another collaboration that might not be available on favorable terms or at all, and could cause significant delays in development and/or commercialization efforts and result in substantial additional costs to us. Termination of such collaboration agreement or the loss of rights provided to us under such agreement may create substantial new and additional risks to the successful development and commercialization of our products and could materially harm our financial condition and operating results.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Regeneron may change its strategic focus or pursue alternative technologies in a manner that results in reduced, delayed or no revenue to us under the agreement. Regeneron has a variety of marketed products and product candidates either by itself or under collaboration with other companies, including some of our competitors, and the corporate objectives of Regeneron may not be consistent with our best interests. Regeneron may change its position regarding its participation and funding of our and Regeneron joint activities, which may impact our ability to successfully pursue the program.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existing and future collaborations will be important to our business. If we are unable to maintain any of these collaborations, or if these collaborations are not successful, our business could be adversely affected.</w:t>
      </w:r>
    </w:p>
    <w:p>
      <w:pPr>
        <w:pStyle w:val="TextBody"/>
        <w:bidi w:val="0"/>
        <w:jc w:val="left"/>
        <w:rPr>
          <w:rFonts w:ascii="Times New Roman" w:hAnsi="Times New Roman"/>
          <w:color w:val="000000"/>
          <w:sz w:val="20"/>
        </w:rPr>
      </w:pPr>
      <w:r>
        <w:rPr>
          <w:rFonts w:ascii="Times New Roman" w:hAnsi="Times New Roman"/>
          <w:color w:val="000000"/>
          <w:sz w:val="20"/>
        </w:rPr>
        <w:t>We have entered, and plan to enter, into collaborations with other companies, including our collaboration agreement with Regeneron, our discovery agreement with Twist Bioscience Corporation (Twist), our license and collaboration agreement with CRISPR Therapeutics AG (CRISPR), and our license agreement with the City of Hope, that we believe can provide us with additional capabilities beneficial to our business. For example, the collaboration with Regeneron has provided us with important technologies, expertise and funding for our programs and technology. Under our discovery agreement with Twist, Twist will utilize its proprietary platform technology to assist us with the discovery of novel antibodies related to our gamma delta T cell therapy programs. Further, our license and collaboration agreement with CRISPR provides us with certain propriety gene-editing technology, including the CRISPR/Cas platform, material to supporting the research, development and potential commercialization of ADI-212. Additionally, our non-exclusive license with the City of Hope provides access to their proprietary cytokine expression technology for cellular immunotherapy, which may also be material to the research, development and potential commercialization of ADI-212. We may receive additional technologies, expertise and funding under other collaborations in the future. If any of our existing or potential future collaboration partners does not perform in the manner that we expect or fulfill their responsibilities in a timely manner or at all, the research, clinical development, regulatory approval and commercialization efforts related to the product candidates that are the subject of such collaborations, or that potential future collaboration partner, could be delayed or terminated. This could result in a limited potential to generate future revenue from such product candidates, and our business could be materially and adversely affected.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existing collaborations, and any future collaborations we enter into, may pose a number of additional risks, including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have significant discretion in determining the efforts and resources that they will apply;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may not perform their obligations as expected;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may dispute the amounts of payments owed;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could develop independently, or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candidates discovered in collaboration with us may be viewed by our collaborators as competitive with their own product candidates or products, which may cause collaborators to cease to devote resources to the development or commercialization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may dispute ownership or rights in jointly developed technologies or intellectual property;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may fail to comply with applicable legal and regulatory requirements regarding the development, manufacture, sale, distribution or marketing of a product candidate or product;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with sales, marketing, manufacturing and distribution rights to one or more of our product candidates that achieve regulatory approval may not commit sufficient resources to the sale, marketing, manufacturing and distribution of such product or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disagreements with collaborators, including disagreements over proprietary rights, contract interpretation, payment obligations or the preferred course of discovery, development, sales or marketing, might cause delays or terminations of the research, development or commercialization of product candidates, might lead to additional and burdensome responsibilities for us with respect to product candidates, or might result in litigation or arbitration, any of which would be time-consuming and expensive;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may not properly maintain or defend their or our relevant intellectual property rights or may use our proprietary information in such a way as to invite litigation that could jeopardize or invalidate our intellectual property or proprietary information or expose us to potential litigation and liability;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may infringe the intellectual property rights of third parties, which may expose us to litigation and potential liability;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a collaborator of ours is involved in a business combination or cessation, the collaborator might deemphasize or terminate the development or commercialization of any product candidate licensed to it by us;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collaborations may be terminated by the collaborator, and, if terminated, we could be required to raise additional capital to pursue further development or commercialization of the applicable product candidates, or potentially lose access to the collaborator’s intellectual property.</w:t>
      </w:r>
    </w:p>
    <w:p>
      <w:pPr>
        <w:pStyle w:val="TextBody"/>
        <w:bidi w:val="0"/>
        <w:spacing w:before="240" w:after="283"/>
        <w:jc w:val="both"/>
        <w:rPr>
          <w:rFonts w:ascii="Times New Roman" w:hAnsi="Times New Roman"/>
          <w:sz w:val="20"/>
        </w:rPr>
      </w:pPr>
      <w:r>
        <w:rPr>
          <w:rFonts w:ascii="Times New Roman" w:hAnsi="Times New Roman"/>
          <w:color w:val="000000"/>
          <w:sz w:val="20"/>
        </w:rPr>
        <w:t>If</w:t>
      </w:r>
      <w:r>
        <w:rPr>
          <w:rFonts w:ascii="Times New Roman" w:hAnsi="Times New Roman"/>
          <w:color w:val="231F20"/>
          <w:sz w:val="20"/>
        </w:rPr>
        <w:t xml:space="preserve"> our collaborations do not result in the successful discovery, development and commercialization of products or if one of our collaborators terminates our agreement with us, we may not receive any future research funding or milestone or royalty payments under the collaboration. If we do not receive the funding or support we expect under these agreements, our development and commercialization of our technology and product candidates could be delayed and we may need additional resources to develop product candidates and our technology. All of the risks relating to product discovery, development, regulatory approval and commercialization described in these risk factors also apply to the activities of our therapeutic collaborators.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In addition to existing collaborations, we may in the future determine to collaborate with pharmaceutical and biotechnology companies for discovery, development and potential commercialization of therapeutic products. We face significant competition in seeking appropriate collaborators because, for example, third parties also have rights to allogeneic T cell technologies.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discovery efforts or the development of a product candidate, reduce or delay our development program or one or more of our other development programs, delay our potential manufacture or commercialization, or reduce the scope of any sales or marketing activities, or increase our expenditures and undertake development or commercialization activities at our expense. If we elect to fund and undertake discovery, development, manufacturing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discovery, development, manufacturing and commercialization activities, we may not be able to further develop our product candidates, manufacture the product candidates, bring them to market or continue to develop our technology and our business may be materially and adversely affected.</w:t>
      </w:r>
    </w:p>
    <w:p>
      <w:pPr>
        <w:pStyle w:val="TextBody"/>
        <w:bidi w:val="0"/>
        <w:spacing w:before="240" w:after="283"/>
        <w:jc w:val="both"/>
        <w:rPr>
          <w:rFonts w:ascii="Times New Roman" w:hAnsi="Times New Roman"/>
          <w:b/>
          <w:i/>
          <w:color w:val="231F20"/>
          <w:sz w:val="20"/>
        </w:rPr>
      </w:pPr>
      <w:r>
        <w:rPr>
          <w:rFonts w:ascii="Times New Roman" w:hAnsi="Times New Roman"/>
          <w:b/>
          <w:i/>
          <w:color w:val="231F20"/>
          <w:sz w:val="20"/>
        </w:rPr>
        <w:t>We are subject to certain exclusivity obligations under our agreement with Regeneron.</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Under the Regeneron Agreement, both parties have obligations not to research, develop, manufacture or commercialize an immune cell product (ICP) with the same target as one being developed under a research program or commercialized by a party (and royalty bearing under the agreement), for so long as such activities are occurring. These exclusivity obligations are limited to engineered gamma delta immune cells to targets reasonably considered to have therapeutic relevance in cancer. If our collaboration with Regeneron is not successful, including any failure caused by the risks listed in the preceding paragraphs, and the agreement and research programs are not terminated, we may not be able to enter into collaborations with other companies with respect to ICPs and our business could be adversely affected.</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The restrictions on internal development under the Regeneron Agreement could lead to delays in our ability to discover and develop gamma delta immune cell therapeutics for targets not covered by the collaboration with Regeneron and loss of opportunities to obtain additional research funding and advance our own technologies separately from the Regeneron collaboration. If we are delayed in our ability to advance our technologies due to the Regeneron Agreement, our business could be harmed.</w:t>
      </w:r>
    </w:p>
    <w:p>
      <w:pPr>
        <w:pStyle w:val="TextBody"/>
        <w:bidi w:val="0"/>
        <w:spacing w:before="240" w:after="283"/>
        <w:jc w:val="both"/>
        <w:rPr>
          <w:rFonts w:ascii="Times New Roman" w:hAnsi="Times New Roman"/>
          <w:b/>
          <w:i/>
          <w:color w:val="231F20"/>
          <w:sz w:val="20"/>
        </w:rPr>
      </w:pPr>
      <w:r>
        <w:rPr>
          <w:rFonts w:ascii="Times New Roman" w:hAnsi="Times New Roman"/>
          <w:b/>
          <w:i/>
          <w:color w:val="231F20"/>
          <w:sz w:val="20"/>
        </w:rPr>
        <w:t>We rely and will continue to rely on third parties to conduct our clinical trials. If these third parties do not successfully carry out their contractual duties or meet expected deadlines, we may not be able to obtain regulatory approval of or commercialize our product candidates.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We currently depend and will continue to depend upon independent investigators and collaborators, such as universities, medical institutions, CROs and strategic partners to conduct our preclinical studies and clinical trials under agreements with us.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 xml:space="preserve">We negotiate budgets and contracts with CROs and study sites, which may result in delays to our development timelines and increased costs. We rely heavily and expect to continue to rely heavily on these third parties over the course of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preclinical studies and clinical trials, and we control only certain aspects of their activities. Nevertheless, we are responsible for ensuring that each of our studies is conducted in accordance with applicable protocol, legal, regulatory and scientific standards, and our reliance on third parties does not relieve us of our regulatory responsibilities. We and these third parties are required to comply with GCPs, which are regulations and guidelines enforced by the FDA and comparable foreign regulatory authorities for product candidates in clinical development. Regulatory authorities enforce these GCPs through periodic inspections of trial sponsors, principal investigators and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such regulatory authorities will determine that any of our clinical trials comply with the GCP regulations. In addition, our clinical trials must be conducted with biologic product produced under cGMPs requirements, and if applicable, cGTP requirements,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Any third parties conducting our clinical trials are and will not be our employees and, except for remedies available to us under our agreements with such third parties, we cannot control whether or not they devote sufficient time and resources to our ongoing preclinical, clinical and nonclinical programs. These third parties may also have relationships with other commercial entities, including our competitors, for whom they may also be conducting clinical studies or other drug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If any of our relationships with trial sites, or any CRO that we may use in the future, terminates, we may not be able to enter into arrangements with alternative trial sites or CROs or do so on commercially reasonable terms. Switching or adding third parties to conduct our clinical trials will involve substantial cost and require extensive management time and focus. In addition, there is a natural transition period when a new third party commences work. As a result, delays occur, which can materially impact our ability to meet our desired clinical development timelines.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currently rely on third parties to manufacture our clinical product supplies, and we may have to rely on third parties to produce and process our product candidates, if approved.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our own internal manufacturing capabilities, we currently utilize, and expect to continue to utilize, third parties to manufacture our product candidates. If the field of cell therapy continues to expand, we may encounter increasing competition and costs for these materials and services. Demand for third-party manufacturing in cell therapy may grow at a faster rate than existing capacity, which could disrupt our ability to find and retain third-party manufacturers capable of producing sufficient quantities of our product candidates at an acceptable cost or at all. We have also not yet caused our product candidates to be manufactured or processed on a commercial scale and may not be able to achieve manufacturing and processing at a commercial scale and therefore may be unable to create an inventory of mass-produced, "off-the-shelf" product to satisfy demands for any of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do not yet have sufficient information to reliably estimate the cost of the commercial manufacturing and processing of our product candidates, and the actual cost to manufacture and process our product candidates could materially and adversely affect the commercial viability of our product candidates. As a result, we may never be able to develop a commercially viable product.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anticipate reliance on a limited number of third-party manufacturers may adversely affect our operations and exposes us to the following risks: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unable to identify manufacturers on acceptable terms or at all because the number of potential manufacturers is limited and the FDA may have questions regarding any replacement contractor. This may require new testing and regulatory interactions. In addition, a new manufacturer would have to be educated in, or develop substantially equivalent processes for, production of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third-party manufacturers might be unable to timely formulate and manufacture our product or produce the quantity and quality required to meet our clinical and commercial needs, if 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Contract manufacturers may not be able to execute our manufacturing procedures appropriately;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future contract manufacturers may not perform as agreed or may not remain in the contract manufacturing business for the time required to supply our clinical trials or to successfully produce, store and distribute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Manufacturers are subject to ongoing periodic unannounced inspection by the FDA and corresponding state agencies to ensure strict compliance with cGMP and other government regulations and corresponding foreign standards. We do not have control over third-party manufacturers’ compliance with these regulations and standards;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own, or may have to share, the intellectual property rights to any improvements made by our third-party manufacturers in the manufacturing process for our products;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third-party manufacturers could breach or terminate their agreement(s) with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any CDMO with whom we contract fails to perform its obligations, we may be forced to manufacture the materials ourselves, for which we may not have the capabilities or resources, or enter into an agreement with a different CDMO, which we may not be able to do on reasonable terms, if at all. In either scenario, our clinical trials supply could be delayed significantly as we establish alternative supply sources. In some cases, the technical skills required to manufacture our product candidates may be unique or proprietary to the original CDMO and we may have difficulty, or there may be contractual restrictions prohibiting us from, transferring such skills to a back-up or alternate supplier, or we may be unable to transfer such skills at all. In addition, if we are required to change CDMOs for any reason, we will be required to verify that the new CDMO maintains facilities and procedures that comply with quality standards and with all applicable regulations. We will also need to verify, such as through a manufacturing comparability study, that any new manufacturing process will produce our product candidates according to the specifications previously submitted to the FDA or another regulatory authority. The delays associated with the verification of a new CDMO could negatively affect our ability to develop product candidates or commercialize our products in a timely manner or within budget. Furthermore, a CDMO may possess technology related to the manufacture of our product candidates that such CDMO owns independently. This would increase our reliance on such CDMO or require us to obtain a license from such CDMO in order to have another CDMO manufacture our product candidates.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contract manufacturers would also be subject to the same risks we face in developing our own manufacturing capabilities, as described above. Each of these risks could delay our clinical trials, the approval, if any, of our product candidates by the FDA or the commercialization of our product candidates or result in higher costs or deprive us of potential product revenue. In addition, we will rely on third parties to perform release tests on our product candidates prior to delivery to patients. If these tests are not appropriately done and test data are not reliable, patients could be put at risk of serious harm.</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Cell-based therapies rely on the availability of specialty raw materials, which may not be available to us on acceptable terms or at all.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product candidates require many specialty raw materials, including viral vectors that deliver the targeting moiety and other genes to the product candidate. We currently manufacture through contract manufacturers, some of which have limited resources and experience supporting a commercial product, and such suppliers may not be able to deliver raw materials to our specifications. Those suppliers normally support blood-based hospital businesses and generally do not have the capacity to support commercial products manufactured under cGMP by biopharmaceutical firms. The suppliers may be ill-equipped to support our needs, especially in non-routine circumstances like an FDA inspection or medical crisis, such as widespread contamination. We also do not have contracts with many of these suppliers, and we may not be able to contract with them on acceptable terms or at all. Accordingly, we may experience delays in receiving key raw materials to support clinical or commercial manufacturing.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some raw materials utilized in the manufacture of our candidates are currently available from a single supplier, or a small number of suppliers. We cannot be sure that these suppliers will remain in business or that they will not be purchased by one of our competitors or another company that is not interested in continuing to produce these materials for our intended purpose. Further, the lead time needed to establish a relationship with a new supplier can be lengthy, and we may experience delays in meeting demand in the event we must switch to a new supplier. The time and effort to qualify a new supplier could result in additional costs, diversion of resources or reduced manufacturing yields, any of which would negatively impact our operating results. We may be unable to enter into agreements with a new supplier on commercially reasonable terms, which could have a material adverse impact on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or our third-party suppliers use hazardous, non-hazardous, biological or other materials in a manner that causes injury or violates applicable law, we may be liable for damages.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research and development activities involve the controlled use of potentially hazardous substances, including chemical and biological materials. We and our suppliers are subject to federal, state and local laws and regulations in the United States governing the use, manufacture, storage, handling and disposal of medical and hazardous materials. Although we believe that our and our suppliers’ procedures for using, handling, storing and disposing of these materials comply with legally prescribed standards, we and our suppliers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internal computer systems, or those used by our CROs or other contractors or consultants, may fail or suffer security breaches, incidents, or compromises.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internal computer systems and the systems of our CROs, contractors and consultants are vulnerable to cybersecurity threats. Additionally, we operate in a hybrid work environment. As our employees and our business partners’ employees work from home and access our systems remotely, we may be subject to heightened security and privacy risks, including the risks of cyber attacks and privacy incidents. Cybersecurity threats include, but are not limited to, social-engineering attacks (including through phishing attacks), business email compromise, online and offline fraud, malicious code (such as viruses and worms), malware (including as a result of advanced persistent threat intrusions), denial-of-service attacks, access attacks (such as credential stuffing), personnel misconduct or error, ransomware attacks, supply-chain attacks, software bugs, server malfunctions, software or hardware failures, loss of data or other information technology assets, adware, and telecommunications failures, among other cybersecurity risks. Threat actors and their techniques change frequently, are often sophisticated in nature, and may not be detected until after a security incident has occurred. We may expend significant resources to try to protect against these threats to our systems. Certain data privacy and security laws, as well as industry best practice standards, may require us to implement and maintain security measures. While we have implemented security measures designed to protect our systems and confidential and sensitive data, there can be no assurance that these measures will be effective. Bad actors around the world use increasingly sophisticated methods, including the use of artificial intelligence, to engage in illegal activities involving the theft and misuse of personal information, confidential information and intellectual property. In addition, the use of generative AI models in our internal or third-party systems may create new attack surfaces or methods for adversaries, which could impact us and our vendors. Any of these effects could damage our reputation, result in the loss of valuable property and information, cause us to breach applicable laws and regulations, and adversely impact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and certain of our service providers have in the past and may in the future experience cybersecurity incidents, including incidents related to social engineering, business email compromise, and wire fraud. System failures and security breaches could cause interruptions in our operations, and could result in a disruption of our development programs and our business operations. For example, the loss of clinical trial data from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candidates could be delayed. Other consequences may include: government enforcement actions (for example, investigations, fines, penalties, audits, and inspections); additional reporting requirements and/or oversight; restrictions on processing sensitive data (including personal data); litigation (including class claims); indemnification obligations; negative publicity; reputational harm; monetary fund diversions; interruptions in our operations (including availability of data); financial loss; and other similar harms. Further, our insurance coverage may not be adequate or sufficient in type or amount to protect us from or to mitigate liabilities arising out of our privacy and security practices.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not realize the benefits of acquired assets or other strategic transactions.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actively evaluate various strategic transactions on an ongoing basis. We may acquire other businesses, products or technologies as well as pursue joint ventures or investments in complementary businesses. The success of our strategic transactions, and any future strategic transactions depends on the risks and uncertainties involved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unanticipated liabilities related to acquired companies or joint ventures;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difficulties integrating acquired personnel, technologies, and operations into our existing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retention of key employees;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diversion of management time and focus from operating our business to management of strategic alliances or joint ventures or acquisition integration challenges;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increases in our expenses and reductions in our cash available for operations and other uses;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disruption in our relationships with collaborators or suppliers as a result of such a transaction; and possible write-offs or impairment charges relating to acquired businesses or joint ventures.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any of these risks or uncertainties occur, we may not realize the anticipated benefit of any acquisition or strategic transaction. Additionally, foreign acquisitions and joint ventures are subject to additional risks, including those related to integration of operations across different cultures and languages, currency risks, potentially adverse tax consequences of overseas operations and the particular economic, political and regulatory risks associated with specific countries.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Future acquisitions or dispositions could result in potentially dilutive issuances of our equity securities, the incurrence of debt, contingent liabilities or amortization expenses or write-offs of goodwill, any of which could have a material adverse effect on our financial condition.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Risks Related to Regulatory Approval</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FDA regulatory approval process is lengthy and time-consuming, and we may experience significant delays in the clinical development and regulatory approval of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research, testing, manufacturing, labeling, approval, selling, import, export, marketing, and distribution of drug products, including biologics, are subject to extensive regulation by the FDA and other regulatory authorities in the United States. We are not permitted to market any biological drug product in the United States until we receive approval of a biologics license application (BLA) from the FDA. We have not previously submitted a BLA to the FDA, or similar approval filings to the EMA or comparable foreign authorities. A BLA must include extensive preclinical and clinical data and sufficient supporting information to establish the product candidate’s safety and effectiveness for each desired indication. The BLA must also include significant information regarding the chemistry, manufacturing and controls for the product.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the novel nature of our product candidates to create further challenges in obtaining regulatory approval. For example, the FDA has limited experience with commercial development of allogeneic T cell therapies for autoimmune diseases and cancer. The FDA may also require a panel of experts, referred to as an Advisory Committee, to deliberate on the adequacy of the safety and efficacy data to support licensure. The opinion of the Advisory Committee, although not binding, may have a significant impact on our ability to obtain marketing approval. Accordingly, the regulatory approval pathway for our product candidates may be uncertain, complex, expensive and lengthy, and approval may not be obtained.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also experience delays in obtaining regulatory approvals, including due to: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obtaining regulatory authorization to begin a trial, if applicable;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need to redesign our study protocols and/or conduct additional studies as may be required by a regulator;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governmental or regulatory delays and changes in regulation or policy relating to the development and commercialization of our product candidate by the FDA, EMA or other comparable foreign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outcome, timing and cost of meeting regulatory requirements established by the FDA, EMA and other comparable foreign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of financial resources to commence and complete the planned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negotiating the terms of any collaboration agreements we may choose to initiate or conclude;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reaching agreement on acceptable terms with prospective CROs and clinical trial sites, the terms of which can be subject to extensive negotiation and may vary significantly among different CROs and trial sites;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of third-party contractors, such as CROs, or investigators to comply with regulatory requirements, including GCP standards;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sites deviating from trial protocol or dropping out of a trial;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 or failure in obtaining the necessary approvals from regulators or institutional review boards, or IRBs, in order to commence a clinical trial at a prospective trial site, or their suspension or termination of a clinical trial once commenced;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inability to recruit and enroll suitable patients to participate in a trial;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having patients complete a trial, including patients enrolled in clinical trials dropping out of the trial before the product candidate is manufactured and returned to the site, or failure to return for post-treatment follow-up;</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addressing any patient safety concerns that arise during the course of a trial;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inability to add new clinical trial sites;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varying interpretations of the data generated from our preclinical studies or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defending intellectual property disputes, including patent infringement actions brought by third parties;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effect of competing technological and market developments;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and timing of establishing, expanding and scaling manufacturing capabilities;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inability to manufacture, or obtain from third parties, sufficient quantities of qualified materials under cGMPs, or if applicable, cGTPs, for the completion of in preclinical studies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problems with biopharmaceutical product candidate storage, stability and distribution resulting in global supply chain disruptions;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establishing sales, marketing and distribution capabilities for any product candidate for which we may receive regulatory approval in regions where we choose to commercialize our products on our own;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unforeseen business disruptions or market fluctuations that delay our product development or clinical trials and increase our costs or expenses, such as business or operational disruptions, delays, or system failures due to malware, unauthorized access, terrorism, war, natural disasters, strikes, geopolitical conflicts, restrictions on trade, import or export restrictions, or public health crises.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could also encounter delays if physicians encounter unresolved ethical issues associated with enrolling patients in clinical trials of our product candidates in lieu of prescribing existing treatments that have established safety and efficacy profiles. Further, a clinical trial may be suspended or terminated by us, the IRBs for the institutions in which such trials are being conducted or by the FDA, EMA or other regulatory authorities due to a number of factors, including failure to conduct the clinical trial in accordance with regulatory requirements or our clinical protocols, inspection of the clinical trial operations or trial site by the FDA, EMA or other regulatory authorities resulting in the imposition of a clinical hold, safety issues or adverse side effects, failure to demonstrate a benefit from using a product candidate, changes in governmental regulations or administrative actions, lack of adequate funding to continue the clinical trial, or based on a recommendation by the Data Safety Monitoring Committee. If we experience termination of, or delays in the completion of, any clinical trial of our product candidates, the commercial prospects for our product candidates may be harmed, and our ability to generate product revenue may be delayed. In addition, any delays in completing our clinical trials will increase our costs, slow down our product development and approval process and jeopardize our ability to commence product sales and generate 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Many of the factors that cause, or lead to, a delay in the commencement or completion of clinical trials may ultimately lead to the denial of regulatory approval of our product candidates.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expect the product candidates we develop will be regulated as biological products, or biologics, and therefore they may be subject to competition from biosimilar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Biologics Price Competition and Innovation Act (BPCIA) established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an application for a biosimilar product cannot be approved by the FDA until 12 years after the reference product was approved under a BLA. The law is complex and is still being interpreted and implemented by the FDA.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that any of our product candidates that are approved in the United States as a biological product under a BLA should qualify for the 12-year period of reference product exclusivity. However, there is a risk that this exclusivity could be shortened due to Congressional action or otherwise, potentially creating the opportunity for biosimilar competition sooner than anticipated. During this 12-year exclusivity period, a competing product may still be marketed if the FDA approves a full BLA containing the applicant’s own preclinical and clinical trial data demonstrating safety, purity and potency. Moreover, the extent to which a biosimilar, once approved, will be substituted for any reference product in a way that is similar to traditional generic substitution for non-biological products is not yet clear, and will depend on a number of marketplace and regulatory factors. State pharmacy laws govern whether interchangeable products can be readily substituted for the reference product.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regulatory landscape that will govern our product candidates is uncertain; regulations relating to more established cell therapy products are still developing, and changes in regulatory requirements could result in delays or discontinuation of development of our product candidates or unexpected costs in obtaining regulatory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Government authorities in the United States at the federal, state and local level and in other countries regulate, among other things, the research, development, testing, manufacture, quality control, approval, labeling, packaging, storage, record-keeping, promotion, advertising, distribution, post-approval monitoring and reporting, marketing and export and import of drug and biological products. Generally, before a new drug or biologic can be marketed, considerable data demonstrating its quality, safety and efficacy and durability of effect must be obtained, organized into a format specific for each regulatory authority, submitted for review and approved by the regulatory authority.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Because we are developing novel allogeneic cell immunotherapy product candidates, the regulatory requirements that we will be subject to are not entirely clear. Even with respect to more established products that fit into the category of cell therapies, the regulatory landscape is still developing. For example, regulatory requirements governing cell therapy products have changed frequently and may continue to change in the future. Moreover, there is substantial, and sometimes uncoordinated, overlap in the regulation of existing cell therapy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Complex regulatory environments also exist in other jurisdictions in which we might consider seeking regulatory approvals for our product candidates, further complicating the regulatory landscape. For example, in the EU a special committee called the Committee for Advanced Therapies was established within the EMA in accordance with Regulation No 1394/2007 on advanced-therapy medicinal products (ATMPs) to assess the quality, safety and efficacy of ATMPs, and to follow scientific developments in the field. ATMPs include somatic cell therapy products and tissue engineered products. These various regulatory review committees and advisory groups and new or revised guidelines that they promulgate from time to time may lengthen the regulatory review process, require us to perform additional studies, increase our development costs, lead to changes in regulatory positions and interpretations, delay or prevent approval and commercialization of our product candidates or lead to significant post-approval limitations or restrictions. Because the regulatory landscape for our gamma delta CAR T-cell product candidates is new, we may face even more cumbersome and complex regulations than those emerging for cell therapy products. Furthermore, even if our product candidates obtain required regulatory approvals, such approvals may later be withdrawn as a result of changes in regulations or the interpretation of regulations by applicable regulatory agencies.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Delay or failure to obtain, or unexpected costs in obtaining, the regulatory approval necessary to bring a potential product to market could decrease our ability to generate sufficient product revenue to maintain our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FDA may disagree with our regulatory plan and we may fail to obtain regulatory approval of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general approach for FDA approval of a new biologic is for the sponsor to provide dispositive data from one or two well-controlled, Phase 3 clinical studies of the relevant biologic in the relevant patient population. Phase 3 clinical studies typically involve hundreds of patients, have significant costs and take years to complete. We expect registrational trials for our product candidates to be designed to evaluate the efficacy of the product candidate in an open-label, non-comparative, two-stage, pivotal, multicenter, single-arm clinical trial in patients who have exhausted available treatment options. If the results are sufficiently compelling, we intend to discuss with the FDA submission of a BLA for the relevant product candidate. However, the process of clinical development is inherently uncertain and we do not have any agreement or guidance from the FDA that our future regulatory development plans are acceptable or will be sufficient to support submission of a BLA. For example, we may seek an accelerated approval pathway for our one or more of our product candidates from the FDA, EMA or comparable foreign regulatory authorities. If we decide to submit an application for accelerated approval, there can be no assurance that such application will be accepted or that any approval will be granted on a timely basis, or at all.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FDA may grant accelerated approval for our product candidates that meet the criteria for accelerated approval. As a condition for accelerated approval, the FDA may require a sponsor of a drug or biologic receiving accelerated approval to perform post marketing studies to verify and describe the predicted effect on irreversible morbidity or mortality or other clinical endpoint. Under the Food and Drug Omnibus Reform Act of 2022 (FDORA), the FDA is permitted to require that a post-approval confirmatory study or studies be underway prior to approval or within a specified time period after the date of accelerated approval was granted. FDORA also requires sponsors to send updates to the FDA every 180 days on the status of such studies,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Even if we seek to utilize the accelerated approval pathway, we may not be able to obtain accelerated approval and, even if we do, we may not experience a faster development, regulatory review or approval process for that product. In addition, receiving accelerated approval does not assure that the product’s accelerated approval will eventually be converted to a traditional approval. Further, the standard of care may change with the approval of new products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same indications that we are studying. This may result in the FDA, EMA or other regulatory agencies requesting additional studies to evaluate our product candidate relative to the new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clinical trial results may also not support approval. In addition, our product candidates could fail to receive regulatory approval for many reasons, including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or comparable foreign regulatory authorities may disagree with the design or implementation of our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unable to demonstrate to the satisfaction of the FDA or comparable foreign regulatory authorities that our product candidates are safe and effective for any of their proposed indications, or that a related companion diagnostic test is suitable to identify appropriate patient populations;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results of clinical trials may not meet the level of statistical significance required by the FDA or comparable foreign regulatory authorities for approval, including due to the heterogeneity of patient populations;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unable to demonstrate that our product candidates’ clinical and other benefits outweigh their safety risks;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or comparable foreign regulatory authorities may disagree with our interpretation of data from preclinical studies or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data collected from clinical trials of our product candidates may not be sufficient to the satisfaction of the FDA or comparable foreign regulatory authorities to support the submission of a BLA or other comparable submission in foreign jurisdictions or to obtain regulatory approval in the United States or elsewhere;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or comparable foreign regulatory authorities will inspect our manufacturing facility (or our CDMO’s facility) and may not find it acceptable;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approval policies or regulations of the FDA or comparable foreign regulatory authorities may significantly change in a manner rendering our clinical data insufficient for approval.</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seek orphan drug designation for some or all of our product candidates across various indications, but we may be unable to obtain such designations or to maintain the benefits associated with orphan drug designation, including market exclusivity, which may cause our revenue, if any, to be reduced.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Orphan Drug Act, the FDA may grant orphan designation to a drug or biologic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or biologic in the United States will be recovered from sales in the United States for that drug or biologic. In order to obtain orphan drug designation, the request must be made before submitting a BLA. In the U.S., orphan drug designation entitles a party to financial incentives such as opportunities for grant funding towards clinical trial costs, tax advantages, and user-fee waivers. After the FDA grants orphan drug designation, the generic identity of the drug and its potential orphan use are disclosed publicly by the FDA. Orphan drug designation does not convey any advantage in, or shorten the duration of, the regulatory review and approval process.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 product that has orphan drug designation subsequently receives the first FDA approval of that particular product for the disease for which it has such designation, the product is entitled to orphan product exclusivity, which means that the FDA may not approve any other applications, including a BLA, to market the same biologic (meaning, a product with the same principal molecular structural features) for the same approved use or indication for seven years, except in limited circumstances such as a showing of clinical superiority to the product with orphan drug exclusivity or if FDA finds that the holder of the orphan drug exclusivity has not shown that it can assure the availability of sufficient quantities of the orphan drug to meet the needs of patients with the disease or condition for which the drug was designated. As a result, even if one of our product candidates receives orphan exclusivity, the FDA can still approve other biologics that do not have the same principal molecular structural features for use in treating the same indication or disease or the same biologic for a different indication or disease during the exclusivity period. Furthermore, the FDA can waive orphan exclusivity if we are unable to manufacture sufficient supply of our product or if a subsequent applicant demonstrates clinical superiority over our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seek orphan drug designation for some or all of our product candidates in specific orphan indications in which there is a medically plausible basis for the use of these products. Even if we obtain orphan drug designation, exclusive marketing rights in the United States may be limited if we seek approval for an indication broader than the orphan designated indication and may be lost if the FDA later determines that the request for designation was materially defective or if we are unable to assure sufficient quantities of the product to meet the needs of patients with the rare disease or condition, or if a subsequent applicant demonstrates clinical superiority over our products, if approved. In addition, although we may seek orphan drug designation for other product candidates, we may never receive such designations. Further, the FDA may further reevaluate its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regulations and policies under the Orphan Drug Act.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pStyle w:val="TextBody"/>
        <w:bidi w:val="0"/>
        <w:jc w:val="left"/>
        <w:rPr>
          <w:rFonts w:ascii="Times New Roman" w:hAnsi="Times New Roman"/>
          <w:b/>
          <w:i/>
          <w:color w:val="000000"/>
          <w:sz w:val="20"/>
        </w:rPr>
      </w:pPr>
      <w:r>
        <w:rPr>
          <w:rFonts w:ascii="Times New Roman" w:hAnsi="Times New Roman"/>
          <w:b/>
          <w:i/>
          <w:color w:val="000000"/>
          <w:sz w:val="20"/>
        </w:rPr>
        <w:t>A fast track designation by the FDA, even if granted for any of our product candidates, may not lead to a faster development or regulatory review or approval process, and does not increase the likelihood that our product candidates will receive marketing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received fast track designation for prula-cel for the treatment of relapsed/refractory Class III or IV LN, refractory SLE with extrarenal involvement, and SSc. If a drug or biologic is intended for the treatment of a serious or life-threatening condition and the product candidate demonstrates the potential to address unmet medical needs for this condition, the product candidate sponsor may apply for fast track designation for a particular indication. We may seek fast track designation for certain of our product candidates, but there is no assurance that the FDA will grant this status to any of our product candidates. Marketing applications filed by sponsors of product candidate with fast track designation may qualify for priority review under the policies and procedures offered by the FDA, but the fast track designation does not assure any such qualification or ultimate marketing approval by the FDA. The FDA has broad discretion whether or not to grant fast track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Regenerative Medicine Advanced Therapy (RMAT) designation, even if granted for any of our product candidates, may not lead to a faster development or regulatory review or approval process and it does not increase the likelihood that our product candidates will receive marketing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seek RMAT designation for one or more of our product candidates. In 2017, the FDA established the RMAT designation to expedite review of a cell therapy, therapeutic tissue engineering product, human cell and tissue product, or any combination product using such therapies or products, with limited exceptions intended to treat, modify, reverse, or cure a serious or life-threatening disease or condition and for which preliminary clinical evidence indicates that the potential to address unmet medical needs for such a disease or condition. RMAT designation provides potential benefits that include more frequent meetings with FDA to discuss the development plan for the product candidate, and eligibility for rolling review and priority review. Products granted RMAT designation may also be eligible for accelerated approval on the basis of a surrogate or intermediate endpoint reasonably likely to predict long-term clinical benefit, or reliance upon data obtained from a meaningful number of sites, including through expansion to additional sites. There is no assurance that we will be able to obtain RMAT designation for any of our product candidates. RMAT designation does not change the FDA’s standards for product approval, and there is no assurance that such designation will result in expedited review or approval or that the approved indication will not be narrower than the indication covered by the designation. Additionally, RMAT designation can be revoked if the criteria for eligibility cease to be met as clinical data emerges.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Positive results from early preclinical studies and clinical trials are not necessarily predictive of the results of any future clinical trials of our product candidates, and may change as more patient data becomes available and is subject to audit and verification procedures that could result in material changes in the final data. If we cannot replicate the positive results from our earlier preclinical studies and clinical trials of our product candidates in our future clinical trials, we may be unable to successfully develop, obtain regulatory approval for and commercialize our product candidate.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From time to time, we may publish interim, top-line or preliminary results from our preclinical studies or clinical trials. Such clinical results are subject to the risk that one or more of the clinical outcomes may materially change as patient enrollment continues and more patient data become available. Data from clinical trials that we may complete are subject to the risk that one or more of the clinical outcomes may materially change as patient enrollment continues and more patient data become available. We may also make assumptions, estimations, calculations and conclusions as part of our analyses of preliminary or top-line data, and we may not have received or had the opportunity to fully and carefully evaluate all data. Preliminary or “top-line” data also remain subject to audit and verification procedures that may result in the final data being materially different from the preliminary data we previously announced. As a result, interim, “top-line,” and preliminary data should be viewed with caution until the final data are available. Adverse differences between preliminary or interim data and final data could significantly harm our business prospects. It is also difficult to predict the timing of announcing interim results.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Accordingly, any positive results from our preclinical studies and ongoing and future clinical trials of our product candidates may not necessarily be predictive of the results from required later clinical trials. Similarly, even if we are able to complete our planned preclinical studies or any future clinical trials according to our current development timeline, the positive results from such preclinical studies and clinical trials may not be replicated in subsequent preclinical studies or clinical trial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 performed satisfactorily in preclinical studies and clinical trials nonetheless failed to obtain FDA or similar regulatory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our ongoing clinical trial utilizes an “open-label” trial design, as may be the case in planned future clinical trials.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when studied in a controlled environment with a placebo or active control.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the clinical updates, or the interim, "top-line", or preliminary data that we report differ from actual results, or if others, including regulatory authorities, disagree with the conclusions reached, our ability to obtain approval for and commercialize our product candidates, our business, operating results, prospects or financial condition may be harmed.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Obtaining and maintaining regulatory approval of our product candidates in one jurisdiction does not mean that we will be successful in obtaining regulatory approval of our product candidates in other jurisdictions.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Even if we receive regulatory approval of our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regulatory approvals that we receive for our product candidates will require post-market surveillance to monitor the safety and efficacy of the product candidate. The FDA may also require a risk evaluation and mitigation strategy (REMS),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quality control, labeling, packaging, distribution, adverse event reporting, storage, advertising, promotion, import, export and record keeping for our product candidates will be subject to extensive and ongoing regulatory requirements. These requirements include submissions of safety and other post-marketing information and reports, registration, as well as continued compliance with cGMPs and GCPs for any clinical trials that we conduct post-approval. As such, we and our contract manufacturers are required to register establishments with the FDA and certain state agencies, and will be subject to continual review and unannounced inspections by the FDA and state agencies to assess compliance with cGMPs and adherence to commitments made in any BLA, other marketing application and previous responses to inspectional observations. Manufacturers and manufacturers’ facilities are required to comply with extensive FDA, and comparable foreign regulatory authority requirements, including ensuring that quality control and manufacturing procedures conform to cGMP regulations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and applicable product tracking and tracing requirements. Manufacturers and other parties involved in the drug supply chain for prescription drug products must also notify the FDA of counterfeit, diverted, stolen and intentionally adulterated products or products that are otherwise unfit for distribution in the United States. Accordingly, we and others with whom we work must continue to expend time, money and effort in all areas of regulatory compliance, including manufacturing, production and quality control. In addition, the FDA could require us to conduct another study to obtain additional safety or biomarker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even if marketing approval of a product candidate is granted, the approval may be subject to limitations on the indicated uses for which the product may be marketed or to conditions of approval, or contain requirements for costly post-marketing testing and surveillance to monitor the safety or efficacy of the product. We will also be required to comply with FDA's promotion and advertising rules, which include, among others, standards for direct-to-consumer advertising, restrictions on promoting products for uses or in patient populations that are not described in the product’s approved uses (known as “off-label use”), limitations on industry-sponsored scientific and educational activities and requirements for promotional activities involving the internet and social media. The FDA and other agencies actively enforce the laws and regulations prohibiting the promotion of off-label uses, and a company that is found to have improperly promoted off-label may be subject to significant liability. However, physicians may, in their independent medical judgment, prescribe legally available products for off-label uses. The FDA does not regulate the behavior of physicians in their choice of treatments, but the FDA does restrict manufacturers' communications on the subject of off-label use of their products. Later discovery of previously unknown problems with our product candidates, including adverse events of unanticipated severity or frequency, or with our third-party suppliers or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restrictions on the marketing or manufacturing of our product candidates, withdrawal of the product from the market or voluntary or mandatory product recalls;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fines, FDA Form 483s, untitled letters, warning letters or holds on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refusal by the FDA to approve pending applications or supplements to approved applications filed by us or suspension or revocation of license approvals;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seizure or detention, or refusal to permit the import or export of our product candidates;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Even if we obtain regulatory approval of our product candidates, the products may not gain market acceptance among physicians, patients, hospitals, cancer treatment centers and others in the medical community, adversely affecting our ability to achieve our commercial and financial projections.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use of engineered gamma delta T cells as potential treatments for autoimmune diseases and cancer is a recent development and may not become broadly accepted by physicians, patients, hospitals, cancer treatment centers and others in the medical community. We expect physicians, including rheumatologists, nephrologists and oncologists, to be particularly important to the market acceptance of our products and we may not be able to educate them on the benefits of using our product candidates for many reasons. Additional factors will influence whether our product candidates are accepted in the market,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clinical indications for which our product candidates are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physicians, hospitals, cancer treatment centers and patients considering our product candidates as a safe and effective treatment;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and perceived advantages of our product candidates over alternative treatments;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prevalence and severity of any side effects;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labeling or product insert requirements of the FDA, EMA or other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limitations or warnings contained in the labeling approved by the FDA;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of market introduction of our product candidates as well as competitive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treatment in relation to alternative treatments;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of coverage and adequate reimbursement and pricing by third-party payors and government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willingness of patients to pay out-of-pocket in the absence of coverage and adequate reimbursement by third-party payors and government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relative convenience and ease of administration, including as compared to alternative treatments and competitive therapies;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effectiveness of our sales and marketing efforts.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our product candidates are approved but fail to achieve market acceptance among physicians, patients, hospitals, cancer treatment centers or others in the medical community, we will not be able to generate significant revenue. Even if our products achieve market acceptance, we may not be able to maintain that market acceptance over time if new products or technologies are introduced that are more favorably received than our products, are more cost effective or render our products obsolete.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Coverage and reimbursement may be limited or unavailable in certain market segments for our product candidates, which could make it difficult for us to sell our product candidates, if approved, profitably.</w:t>
      </w:r>
    </w:p>
    <w:p>
      <w:pPr>
        <w:pStyle w:val="TextBody"/>
        <w:bidi w:val="0"/>
        <w:spacing w:before="240" w:after="283"/>
        <w:jc w:val="both"/>
        <w:rPr>
          <w:rFonts w:ascii="Times New Roman" w:hAnsi="Times New Roman"/>
          <w:sz w:val="20"/>
        </w:rPr>
      </w:pPr>
      <w:r>
        <w:rPr>
          <w:rFonts w:ascii="Times New Roman" w:hAnsi="Times New Roman"/>
          <w:color w:val="000000"/>
          <w:sz w:val="20"/>
        </w:rPr>
        <w:t>Successful sales of our product candidates, if approved, depend on the availability of coverage and adequate reimbursement from third-party payors including governmental healthcare programs, such as Medicare and Medicaid, managed care organizations and commercial payors, among others. Significant uncertainty exists as to the coverage and reimbursement status of any product candidates for which we obtain regulatory approval. In addition, because our product candidates represent new approaches to the treatment of autoimmune diseases and cancer, we cannot accurately estimate the potential revenue from our product candidates. For further discussion on coverage and reimbursement matters, see the section entitled “</w:t>
      </w:r>
      <w:r>
        <w:rPr>
          <w:rFonts w:ascii="Times New Roman" w:hAnsi="Times New Roman"/>
          <w:i/>
          <w:color w:val="000000"/>
          <w:sz w:val="20"/>
        </w:rPr>
        <w:t>Business—Government Regulation and Product Approval Coverage, Pricing and Reimbursement</w:t>
      </w:r>
      <w:r>
        <w:rPr>
          <w:rFonts w:ascii="Times New Roman" w:hAnsi="Times New Roman"/>
          <w:color w:val="000000"/>
          <w:sz w:val="20"/>
        </w:rPr>
        <w:t>” in our Annual Report on Form 10-K for the year ended December 31,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Patients who are provided medical treatment for their conditions generally rely on third-party payors to reimburse all or part of the costs associated with their treatment. Obtaining coverage and adequate reimbursement from third-party payors is critical to new product acceptance.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Third-party payors decide which drugs and treatments they will cover and the amount of reimbursement. Reimbursement by a third-party payor may depend upon a number of factors, including, but not limited to, the third-party payor’s determination that use of a product is: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covered benefit under its health plan;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safe, effective and medically necessary;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appropriate for the specific patient;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cost-effective;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neither experimental nor investigational.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Obtaining coverage and reimbursement of a product from a government or other third-party payor is a time consuming and costly process that could require us to provide to the payor supporting scientific, clinical and cost-effectiveness data for the use of our products. Even if we obtain coverage for a given product, if the resulting reimbursement rates are insufficient, hospitals may not approve our product for use in their facility or third-party payors may require co-payments that patients find unacceptably high. Patients are unlikely to use our product candidates unless coverage is provided, and reimbursement is adequate to cover a significant portion of the cost of our product candidates. Separate reimbursement for the product itself may or may not be available. Instead, the hospital or administering physician may be reimbursed only for providing the treatment or procedure in which our product is used. Further, from time to time, Centers for Medicare and Medicaid Services (CMS) revises the reimbursement systems used to reimburse health care providers, including the Medicare Physician Fee Schedule and Outpatient Prospective Payment System, which may result in reduced Medicare payments. In some cases, private third-party payers rely on all or portions of Medicare payment systems to determine payment rates. Changes to government healthcare programs that reduce payments under these programs may negatively impact payments from private third-party payers and reduce the willingness of physicians to use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United States, no uniform policy of coverage and reimbursement for products exists among third-party payors. Therefore, coverage and reimbursement for products can differ significantly from payor to payor. Further, one payor’s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 Because our product candidate may have a higher cost of goods than conventional therapies, and may require long-term follow-up evaluations, the risk that coverage and reimbursement rates may be inadequate for us to achieve profitability may be greater. There is significant uncertainty related to insurance coverage and reimbursement of newly approved products. It is difficult to predict at this time what third-party payors will decide with respect to the coverage and reimbursement for our product candidate. Moreover, payment methodologies may be subject to changes in healthcare legislation and regulatory initiatives. Additional state and federal healthcare reform measures are expected to be adopted in the future, any of which could limit the amounts that federal and state governments will pay for healthcare products and services, which could result in reduced demand for certain pharmaceutical products or additional pricing pressures. Specifically, there have been several United States Congressional inquiries and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We expect to experience pricing pressures in connection with the sale of any of our product candidates due to the trend toward managed healthcare, the increasing influence of health maintenance organizations, cost containment initiatives and additional legislative changes.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Payment methodologies may be subject to changes in healthcare legislation and regulatory initiatives.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intend to seek approval to market our product candidates in both the United States and in selected foreign jurisdictions. Increased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 If we obtain approval in one or more foreign jurisdictions for our product candidates, we will be subject to rules and regulations in those jurisdictions. In some foreign countries, particularly those in Europe, the pricing of biologics is subject to governmental control. In these countries, pricing negotiations with governmental authorities can take considerable time after obtaining marketing approval of a product candidate. Some of these countries may require the completion of clinical trials that compare the cost-effectiveness of a particular product candidate to currently available therapies. Other EU member states allow companies to fix their own prices for medicines but monitor and control company profits. The downward pressure on health care costs has become very intense. As a result, increasingly high barriers are being erected to the entry of new products. In addition, in some countries, cross-border imports from low-priced markets exert a commercial pressure on pricing within a country.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marketability of any product candidates for which we receive regulatory approval for commercial sale may suffer if government and other third-party payors fail to provide coverage and adequate reimbursement. We expect downward pressure on pharmaceutical pricing to continue. Further,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advancement of healthcare reform may negatively impact our ability to sell our product candidates, if approved, profitably.</w:t>
      </w:r>
    </w:p>
    <w:p>
      <w:pPr>
        <w:pStyle w:val="TextBody"/>
        <w:bidi w:val="0"/>
        <w:spacing w:before="240" w:after="283"/>
        <w:jc w:val="both"/>
        <w:rPr>
          <w:rFonts w:ascii="Times New Roman" w:hAnsi="Times New Roman"/>
          <w:sz w:val="20"/>
        </w:rPr>
      </w:pPr>
      <w:r>
        <w:rPr>
          <w:rFonts w:ascii="Times New Roman" w:hAnsi="Times New Roman"/>
          <w:color w:val="000000"/>
          <w:sz w:val="20"/>
        </w:rPr>
        <w:t>Third-party payors, whether domestic or foreign, or governmental or commercial, are developing increasingly sophisticated methods of controlling healthcare costs. In both the United States and certain foreign jurisdictions, there have been a number of legislative and regulatory changes to the health care system that could impact our ability to sell our product candidates, if approved, profitably. For further discussion on healthcare reform matters, see the section entitled “</w:t>
      </w:r>
      <w:r>
        <w:rPr>
          <w:rFonts w:ascii="Times New Roman" w:hAnsi="Times New Roman"/>
          <w:i/>
          <w:color w:val="000000"/>
          <w:sz w:val="20"/>
        </w:rPr>
        <w:t>Business – Government Regulation and Product Approval – Healthcare Reform</w:t>
      </w:r>
      <w:r>
        <w:rPr>
          <w:rFonts w:ascii="Times New Roman" w:hAnsi="Times New Roman"/>
          <w:color w:val="000000"/>
          <w:sz w:val="20"/>
        </w:rPr>
        <w:t>” in our Annual Report on Form 10-K for the year ended December 31,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There have been, and likely will continue to be, legislative and regulatory proposals at the foreign, federal and state levels directed at broadening the availability of healthcare and containing or lowering the cost of healthcare. </w:t>
      </w:r>
    </w:p>
    <w:p>
      <w:pPr>
        <w:pStyle w:val="TextBody"/>
        <w:bidi w:val="0"/>
        <w:jc w:val="left"/>
        <w:rPr>
          <w:rFonts w:ascii="Times New Roman" w:hAnsi="Times New Roman"/>
          <w:color w:val="000000"/>
          <w:sz w:val="20"/>
        </w:rPr>
      </w:pPr>
      <w:r>
        <w:rPr>
          <w:rFonts w:ascii="Times New Roman" w:hAnsi="Times New Roman"/>
          <w:color w:val="000000"/>
          <w:sz w:val="20"/>
        </w:rPr>
        <w:t xml:space="preserve">Additionally, there has been increasing legislative and enforcement interest in the United States with respect to drug pricing practices, which has resulted in several U.S. Congressional inquiries and federal and state legislation designed to, among other things, bring more transparency to drug pricing, reduce the cost of prescription drugs, and review the relationship between pricing and manufacturer patient programs. The Inflation Reduction Act of 2022 (the “IRA”), for example, includes several provisions that may impact our business to varying degrees, including provisions that reduce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out-of-pocket spending cap for Medicare Part D beneficiaries to $2,000 starting in 2025, eliminating the prescription drug coverage gap;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until January 1, 2032 the implementation of an HHS rebate rule that would have limited the fees that pharmacy benefit managers can charge. Further, under the IRA, orphan drugs were previously exempted from the Medicare drug price negotiation program; however, this exemption was restricted to drugs with only one orphan designation and for which the only approved indication is for that disease or condition. If a product received multiple orphan designations or had multiple approved indications, it would not qualify for the orphan drug exemption. Under the One Big Beautiful Bill Act of 2025, this restriction was eliminated; and effective for the 2028 initial price applicability year, all orphan drugs, regardless of the number of orphan designations or indications, are exempt from the Medicare drug price negotiation program. The effects of the IRA on our business and the healthcare industry in general is not yet known.</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 xml:space="preserve">On April 15, 2025, the Trump Administration published Executive Order 14273, “Lowering Drug Prices by Once Again Putting Americans First,” which generally directs the federal government to take measures to reduce drug prices, including eliminating the so-called “pill penalty” under the Inflation Reduction Act that creates a distinction between small molecule and large molecule products for purposes of determining when a drug may be eligible for drug price negotiation. On May 12, 2025, the Trump Administration published Executive Order 14297, “Delivering MFN Prescription Drug Pricing to American Patients” which generally, among other things, directs the federal government to establish and communicate most-favored-nation price targets to pharmaceutical manufacturers to bring prices for American patients in line with comparably developed nations. Further, the Executive Order directs the federal government to support regulatory paths to allow direct-to-patient sales for companies that meet these targets. It also states that the Administration will take additional aggressive action (for example, examining whether marketing approvals should be modified or rescinded or opening the door for individual drug importation waivers) should manufacturers fail to offer American consumers the most-favored-nation lowest price. It also directs the Secretary of Commerce and the U.S. Trade Representative to “take all necessary and appropriate action to ensure foreign countries are not engaged in any act, policy, or practice that may be unreasonable or discriminatory or that may impair United States national security . . . including by suppressing the price of pharmaceutical products below fair market value in foreign countries.” Notably, a similar “MFN” pricing rule enacted under the first Trump Administration was subject to an injunction resulting from judicial challenges to the rule, which was formally rescinded by the former Biden Administration in August 2021. Recent CMS proposals, including the GLOBE, GUARD, and GENEROUS, could materially impact the Company’s revenue.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The implementation of cost containment measures or other healthcare reforms may prevent us from being able to generate revenue, attain profitability, or commercialize our products. Such reforms could have an adverse effect on anticipated revenue from product candidates that we may successfully develop and for which we may obtain regulatory approval and may affect our overall financial condition and ability to develop product candidates. Additionally, there has been heightened governmental scrutiny in the United States of pharmaceutical and biologics pricing practices in light of the rising cost of prescription drugs and biologics. Such scrutiny has resulted in various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that additional U.S. federal healthcare reform measures will be adopted in the future, any of which could limit the amounts that the U.S. Federal Government will pay for healthcare drugs and services, which could result in reduced demand for our product candidates or additional pricing pressures. 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and designed to encourage importation from other countries and bulk purchasing.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 The continuing efforts of the government, insurance companies, managed care organizations and other payors of healthcare services to contain or reduce costs of healthcare and/or impose price controls may adversely affect: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demand for our product candidates if we obtain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set a price that it believes is fair for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generate revenue and achieve or maintain profitability;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level of taxes that we are required to pay;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of capital.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reduction in reimbursement from Medicare or other government programs may result in a similar reduction in payments from private payors, which may adversely affect our future profitability.</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addition, the U.S. Supreme Court’s June 2024 decision in </w:t>
      </w:r>
      <w:r>
        <w:rPr>
          <w:rFonts w:ascii="Times New Roman" w:hAnsi="Times New Roman"/>
          <w:i/>
          <w:color w:val="000000"/>
          <w:sz w:val="20"/>
        </w:rPr>
        <w:t xml:space="preserve">Loper Bright Enterprises v. Raimondo </w:t>
      </w:r>
      <w:r>
        <w:rPr>
          <w:rFonts w:ascii="Times New Roman" w:hAnsi="Times New Roman"/>
          <w:color w:val="000000"/>
          <w:sz w:val="20"/>
        </w:rPr>
        <w:t xml:space="preserve">overturned the longstanding </w:t>
      </w:r>
      <w:r>
        <w:rPr>
          <w:rFonts w:ascii="Times New Roman" w:hAnsi="Times New Roman"/>
          <w:i/>
          <w:color w:val="000000"/>
          <w:sz w:val="20"/>
        </w:rPr>
        <w:t>Chevron</w:t>
      </w:r>
      <w:r>
        <w:rPr>
          <w:rFonts w:ascii="Times New Roman" w:hAnsi="Times New Roman"/>
          <w:color w:val="000000"/>
          <w:sz w:val="20"/>
        </w:rPr>
        <w:t xml:space="preserve"> doctrine, under which courts were required to give deference to regulatory agencies’ reasonable interpretations of ambiguous federal statutes. The </w:t>
      </w:r>
      <w:r>
        <w:rPr>
          <w:rFonts w:ascii="Times New Roman" w:hAnsi="Times New Roman"/>
          <w:i/>
          <w:color w:val="000000"/>
          <w:sz w:val="20"/>
        </w:rPr>
        <w:t>Loper</w:t>
      </w:r>
      <w:r>
        <w:rPr>
          <w:rFonts w:ascii="Times New Roman" w:hAnsi="Times New Roman"/>
          <w:color w:val="000000"/>
          <w:sz w:val="20"/>
        </w:rPr>
        <w:t xml:space="preserve"> decision could result in additional legal challenges to regulations and guidance issued by federal agencies, including the FDA, on which we rely. Any such legal challenges, if successful, could have a material impact on our business. Additionally, the </w:t>
      </w:r>
      <w:r>
        <w:rPr>
          <w:rFonts w:ascii="Times New Roman" w:hAnsi="Times New Roman"/>
          <w:i/>
          <w:color w:val="000000"/>
          <w:sz w:val="20"/>
        </w:rPr>
        <w:t xml:space="preserve">Loper </w:t>
      </w:r>
      <w:r>
        <w:rPr>
          <w:rFonts w:ascii="Times New Roman" w:hAnsi="Times New Roman"/>
          <w:color w:val="000000"/>
          <w:sz w:val="20"/>
        </w:rPr>
        <w:t xml:space="preserve">decision may result in increased regulatory uncertainty, inconsistent judicial interpretations, and other impacts to the agency rulemaking process, any of which could adversely impact our business and operations. We cannot predict the likelihood, nature or extent of government regulation that may arise from future legislation or administrative action or as a result of legal challenges, either in the United States or abroad. If we are slow or unable to adapt to changes in existing requirements or the adoption of new requirements or policies, or if we are not able to maintain regulatory compliance, our business could be materially harmed.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Risks Related to Our Intellectual Property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our efforts to protect the proprietary nature of the intellectual property related to our technologies are not adequate, we may not be able to compete effectively in our market.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rely upon a combination of patents, trade secret protection and license agreements to protect the intellectual property related to our technologies. Any disclosure to or misappropriation by third parties of our confidential proprietary information could enable competitors to quickly duplicate or surpass our technological achievements, thus eroding our competitive position in our market.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 patent applications have been filed, and we anticipate additional patent applications will be filed, both in the United States and in other countries, as appropriate. However, we cannot predict: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and when patents will issue;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degree and range of protection any issued patents will afford us against competitors including whether third parties will find ways to invalidate or otherwise circumvent our patents;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or not others will obtain patents claiming aspects similar to those covered by our patents and patent applications;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we will need to initiate litigation or administrative proceedings which may be costly whether we win or lose.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Composition of matter patents for biological and pharmaceutical products such as CAR-based product candidates often provide a strong form of intellectual property protection for those types of products, as such patents provide protection without regard to any method of use. We cannot be certain that the claims in our pending patent applications covering composition of matter of our product candidates will be considered patentable by the United States Patent and Trademark Office (USPTO), or by patent offices in foreign countries, or that the claims in any of our issued patents will be considered valid and enforceable by courts in the United States or foreign countries. Method of use patents protect the use of a product for the specified method. This type of patent does not prevent a competitor from making and marketing a product that is identical to our product for an indication that is outside the scope of the patented method. Moreover, even if competitors do not actively promote their product for our targeted indications, physicians may prescribe these products “off-label.” Although off-label prescriptions may infringe or contribute to the infringement of method of use patents, the practice is common and such infringement is difficult to prevent or prosecute.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strength of patents in the biotechnology and 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patentability, validity, enforceability or scope thereof, for example through inter partes review (IPR) post-grant review or ex parte reexamination before the USPTO or oppositions and other comparable proceedings in foreign jurisdictions, which may result in such patents being cancelled, narrowed, invalidated or held unenforceable. Furthermore, even if they are unchallenged, our patents and patent applications may not adequately protect our intellectual property or prevent others from designing their products to avoid being covered by our claims. If the breadth or strength of protection provided by the patents and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 United States patent applications containing or that at any time contained a claim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 entitled to a priority date before March 16, 2013 are subject to the “first to file” system implemented by the America Invents Act (2011).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first to file system will require us to be cognizant going forward of the time from invention to filing of a patent application. Since patent applications in the United States and most other countries are confidential for a period of time after filing, we cannot be certain that it was the first to file any patent application related to our product candidates. Furthermore, for United States applications in which all claims are entitled to a priority date before March 16, 2013, an interference proceeding can be provoked by a third-party or instituted by the USPTO, to determine who was the first to invent any of the subject matter covered by the patent claims of our applications. For United States applications containing a claim not entitled to priority before March 16, 2013, there is a greater level of uncertainty in the patent law in view of the passage of the America Invents Act, which brought into effect significant changes to the United States patent laws, including new procedures for challenging patent applications and issued patents.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not be successful in obtaining or maintaining necessary rights to product components and processes for our development pipeline through acquisitions and in-licenses.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require access to additional intellectual property to develop our current or future product candidates. Accordingly, the growth of our business will likely depend in part on our ability to acquire, in-license or use these proprietary rights.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product candidates may also require specific formulations to work effectively and efficiently and these rights may be held by others. We may be unable to acquire or in-license any compositions, methods of use, processes or other third-party intellectual property rights from third parties that we identify. We may fail to obtain any of these licenses at a reasonable cost or on reasonable terms, which would harm our business. Even if we are able to obtain a license, it may be non-exclusive, thereby giving our competitors access to the same technologies licensed to us. In that event, we may be required to expend significant time and resources to develop or license replacement technology. We may need to cease use of the compositions or methods covered by such third-party intellectual property rights.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be involved in lawsuits to protect or enforce our patents or the patents of our licensors, which could be expensive, time-consuming and unsuccessful.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Competitors may infringe our patents or the patents of our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Interference proceedings provoked by third parties or brought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lives of our patents may not be sufficient to effectively protect our products and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Patents have a limited lifespan. In the United States, the natural expiration of a patent is generally 20 years after its first effective filing date. Although various extensions may be available, the life of a patent, and the protection it affords, is limited. Even if patents covering our product candidates are obtained, once the patent life has expired for a product, we may be open to competition from biosimilar or generic medications. In addition, although upon issuance in the United States a patent’s life can be increased based on certain delays caused by the USPTO, this increase can be reduced or eliminated based on certain delays caused by the patent applicant during patent prosecution. If we do not have sufficient patent life to protect our products, our business and results of operations will be adversely affected.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be subject to claims challenging the inventorship of our patents and other intellectual property.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in the future be subject to claims that former employees, collaborators, or other third parties have an interest in our patents or other intellectual property as an inventor or co-inventor. For example, we may have inventorship disputes arise from conflicting obligations of consultants or others who are involved in developing our product candidates.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Issued patents covering our product candidates could be found unpatentable, invalid or unenforceable if challenged in court or the USPTO.</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or one of our licensing partners initiate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Such mechanisms include IPR, ex parte re-examination and post grant review in the United States, and equivalent proceedings in foreign jurisdictions (e.g., opposition proceedings). Such proceedings could result in revocation or amendment to our patents in such a way that they no longer cover and protect our product candidates. The outcome following legal assertions of unpatentability,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unpatentability, invalidity and/or unenforceability, we would lose at least part, and perhaps all, of the patent protection on our product candidates. Such a loss of patent protection could have a material adverse impact on our business.</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Risks Related to Third Party Intellectual Property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depend on intellectual property licensed from third parties and termination of any of these licenses could result in the loss of significant rights, which would harm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dependent on patents, know-how and proprietary technology, both our own and licensed from others. We depend substantially on our license agreements with Regeneron, CRISPR and City of Hope. These licenses may be terminated upon certain conditions. Any termination of these licenses could result in the loss of significant rights and could harm our ability to commercialize our product candidates. To the extent these licensors fail to meet their obligations under their license agreements,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which we are not in control of, we may lose the benefits of our license agreements with these licensors. In the future, we may also enter into additional license agreements that are material to the development of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Disputes may also arise between us and our licensors regarding intellectual property subject to a license agreement, including those related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and the extent to which our technology and processes infringe on intellectual property of the licensor that is not subject to the licensing agreement;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right to sublicense patent and other rights to third parties under collaborative development relationships;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diligence obligations with respect to the use of the licensed technology in relation to our development and commercialization of our product candidates, and what activities satisfy those diligence obligations;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ownership of inventions and know-how resulting from the joint creation or use of intellectual property by our licensors and us and our partners.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disputes over intellectual property that we have licensed or license in the future, prevent or impair our ability to maintain our current licensing arrangements on acceptable terms, we may be unable to successfully develop and commercialize the affected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generally also subject to all of the same risks with respect to protection of intellectual property that we license, as we are for intellectual property that we own, which are described below. If we or our licensors fail to adequately protect this intellectual property, our ability to commercialize products could suffer.</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Confidentiality agreements with employees and third parties may not prevent unauthorized disclosure of trade secrets and other proprietary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the protection afforded by patents, we seek to rely on trade secret protection and confidentiality agreements to protect proprietary know-how that is not patentable, processes for which patents are difficult to enforce and any other elements of our product discovery and development processes that involve proprietary know-how, information or technology that is not covered by patents. Trade secrets, however, may be difficult to protect. Although we require all of our employees to assign their inventions to us, and require all of our employees and key consultants who have access to our proprietary know-how, information, or technology to enter into confidentiality agreements, we cannot be certain that our trade secrets and other confidential proprietary information will not be disclosed or that competitors will not otherwise gain access to our trade secrets or independently develop substantially equivalent information and techniques.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which could materially adversely affect our business, operating results, and financial condition.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Third-party claims of intellectual property infringement may prevent or delay our product discovery and development efforts.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commercial success depends in part on us avoiding infringement of the patents and proprietary rights of third parties. There is a substantial amount of litigation involving patents and other intellectual property rights in the biotechnology and pharmaceutical industries. Numerous United States and foreign issued patents and pending patent applications, which are owned by third parties, exist in the fields in which we are developing our product candidates. As the biotechnology and pharmaceutical industries expand and more patents are issued, the risk increases that our product candidates may give rise to claims of infringement of the patent rights of others.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aware of United States and foreign patents held by a third party relating to gamma delta T cell expansion protocols and related compositions which, on information and belief, are invalid and/or not infringed. In the event that these patents are successfully asserted against our product candidates, such as prula-cel, or the use of our precursor cells in manufacture of these product candidates, such litigation may negatively impact our ability to commercialize these product candidates in such jurisdictions. We are also aware of several United States and foreign patents held by third parties relating to certain CAR compositions of matter, methods of making and methods of use which, on information and belief, are invalid and/or not infringed. Nevertheless, third parties may assert that we infringe their patents or are otherwise employing their proprietary technology without authorization and may sue us. Generally, conducting clinical trials and other development activities in the United States is not considered an act of infringement. If and when prula-cel, or another CAR-based product candidate is approved by the FDA, third parties may then seek to enforce their patents by filing a patent infringement lawsuit against 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Patents issued in the United States by law enjoy a presumption of validity that can be rebutted only with evidence that is “clear and convincing,” a heightened standard of proof. We may not be able to prove in litigation that any patent enforced against us is invalid and/or not infringed.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there may be third-party patents of which we are currently unaware with claims to materials, formulations, methods of manufacture or methods for treatment related to the use or manufacture of our product candidates.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 If any third-party patents were held by a court of competent jurisdiction to cover the manufacturing process of our product candidates, constructs or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not infringed, unpatentable, invalid or unenforceable. Similarly, if any third-party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product candidate unless we obtained a license or until such patent expires or is finally determined to be held not infringed, unpatentable,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and may impact our reputation.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Risks Related to Intellectual Property Laws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Changes in United States patent law could diminish the value of patents in general, thereby impairing our ability to protect our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 Recent United States Court of Appeals for the Federal Circuit and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United States Congress, the federal courts, and the USPTO, the laws and regulations governing patents could change in unpredictable ways that would weaken our ability to obtain new patents or to enforce our existing patents and patents that we might obtain in the future.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not be able to protect our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U.S., or from selling or importing products made using our inventions outside of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it develops or licenses.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be subject to claims that our employees, consultants, or independent contractors have wrongfully used or disclosed confidential information of third parties.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received confidential and proprietary information from third parties. In addition, we employ individuals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Litigation may be necessary to defend against these claims. Even if we are successful in defending against these claims, litigation could result in substantial cost and be a distraction to our management and employees.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Ownership of Our Common Stock</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Risks Related to Ownership Generally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trading price of our common stock is highly volatile, which could result in substantial losses for purchasers of our common stock. Securities class action or other litigation involving our company or members of our management team could also substantially harm our business,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stock price is highly volatile. The stock market in general and the market for smaller pharmaceutical and biotechnology companies in particular have experienced extreme volatility that has often been unrelated to the operating performance of particular companies. In addition, if the market for pharmaceutical and biotechnology stocks or the broader stock market continues to experience a loss of investor confidence, the trading price of our common stock could decline for reasons unrelated to our business, financial condition or results of operations. As a result of this volatility, you may not be able to sell your common stock at or above the purchase price and you may lose some or all of your investment. The market price for our common stock may be influenced by many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success of existing or new competitive products or technologies;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actions with respect to our product candidates or our competitors’ products and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announcements by us or our competitors of significant acquisitions, strategic partnerships, joint ventures, collaborations or capital commitments;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timing and results of clinical trials of prula-cel;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FDA clearance of additional INDs for prula-cel in autoimmune indications;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initiation, timing and results of clinical studies of ADI-212;</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commencement or termination of collaborations for our development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or discontinuation of any of our development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results of clinical trials of product candidates of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or legal developments in the United States and other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developments or disputes concerning patent applications, issued patents or other proprietary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recruitment or departure of key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level of expenses related to any of our product candidates or clinical development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results of our efforts to develop additional product candidates or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issues or delays regarding the manufacturing of our product candidates and, if approved, products by us or by our third-party suppliers;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actual or anticipated changes in estimates as to financial results or development timelines;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announcement or expectation of additional financing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of our common stock by us, our insiders or other stockholders;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variations in our financial results or those of companies that are perceived to be similar to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estimates or recommendations by securities analysts, if any, that cover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structure of healthcare payment systems;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market conditions in the pharmaceutical and biotechnology sectors;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economic, industry and market conditions;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other factors described in this “Risk Factors” section.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past, securities class action litigation has often been brought against a company following a decline in the market price of its securities. This risk is especially relevant for biopharmaceutical companies, which have experienced significant stock price volatility in recent years. We have been, and may in the future be, subject to securities litigation related to corporate governance matters determined in good faith by our board of directors, including the stock option repricing in August 2023 in accordance with the terms of our 2015 Plan and 2018 Plan. Even if the allegations against us are unfounded or we ultimately are not held liable, we may experience related negative publicity resulting in damage to our reputation. Further, the costs to defend ourselves may be significant and the litigation may subject us to substantial settlements, fines, penalties or judgments against us and may consume management’s bandwidth and attention, some or all of which may negatively impact our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An active trading market for our common stock may not be sustained. If an active trading market is not sustained, our ability to raise capital in the future may be impaired.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common stock began trading on The Nasdaq Global Market on January 26, 2018 and now trades on The Nasdaq Capital Market under the symbol “ACET.” There is a risk that an active trading market for our shares may not be sustained, which could put downward pressure on the market price of our common stock and thereby affect your ability to sell shares you purchased. An inactive trading market for our common stock may also impair our ability to raise capital to continue to fund our operations by selling shares and impair our ability to acquire other companies or technologies by using our shares as consideration.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principal stockholders and management own a significant percentage of our stock and will be able to exert significant control over matters subject to stockholder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executive officers, directors, and 5% stockholders beneficially own a significant percentage of our outstanding stock. Accordingly, these stockholders will have the ability to influence us through this ownership position and significantly affect the outcome of all matters requiring stockholder approval. For example, these stockholders may be able to significantly affect the outcome of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Risks Related to Market Uncertainties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Unstable market and economic conditions may have serious adverse consequences on our business, financial condition and stock price.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global credit and financial markets have experienced extreme volatility and disruptions in the past several years, including severely diminished liquidity and credit availability, volatile interest rates, rising and fluctuating inflation rates, reduced corporate profitability, declines in consumer confidence, declines in economic growth, increases in unemployment rates and uncertainty about economic stability. U.S. debt ceiling and budget deficit concerns have increased the possibility of additional credit-rating downgrades and economic slowdowns, or a recession in the United States. Although U.S. lawmakers passed legislation to raise the federal debt ceiling on multiple occasions, ratings agencies have lowered or threatened to lower the long-term sovereign credit rating on the United States. The impact of this or any further downgrades to the U.S. government’s sovereign credit rating or its perceived creditworthiness could adversely affect the U.S. and global financial markets and economic conditions. In addition, inflation rates in the U.S. have recently increased to levels not seen in decades.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believe that the state of global economic conditions are particularly volatile and uncertain and may negatively impact our ability to conduct clinical trials on the scale and timelines anticipated. There can be no assurance that further deterioration in credit and financial markets and confidence in economic conditions will not occur. Our general business strategy may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adversely affected by any such economic downturn, volatile business or political environment or continued unpredictable and unstable market conditions. If the current equity and credit markets deteriorate, it may make obtaining any necessary debt or equity financing more difficult, more costly and more dilutive. For example, as a result of political, social, and economic instability abroad, including as a result of armed conflict, war or threat of war, in particular, the current conflict between Russia and Ukraine, including resulting sanctions, terrorist activity and other security concerns in general, there could be a significant disruption of global financial markets, impairing our ability to raise capital when needed on acceptable terms, if at all.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and other partners may not survive an economic downturn, which could directly affect our ability to attain our operating goals on schedule and on budget. To the extent that our profitability and strategies are negatively affected by downturns or volatility in general economic conditions, our business and results of operations may be materially adversely affected.</w:t>
      </w:r>
    </w:p>
    <w:p>
      <w:pPr>
        <w:pStyle w:val="TextBody"/>
        <w:bidi w:val="0"/>
        <w:spacing w:before="240" w:after="283"/>
        <w:jc w:val="both"/>
        <w:rPr>
          <w:rFonts w:ascii="Times New Roman" w:hAnsi="Times New Roman"/>
          <w:sz w:val="20"/>
        </w:rPr>
      </w:pPr>
      <w:r>
        <w:rPr>
          <w:rFonts w:ascii="Times New Roman" w:hAnsi="Times New Roman"/>
          <w:b/>
          <w:i/>
          <w:color w:val="000000"/>
          <w:sz w:val="20"/>
        </w:rPr>
        <w:t>Our business is affected by macroeconomic conditions, including rising inflation, interest rates and supply chain constraints.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Various macroeconomic factors could adversely affect our business and the results of our operations and financial condition, including changes in inflation, interest rates and overall economic conditions and uncertainties such as those resulting from the current and future conditions in the global financial markets. For instance, rising interest rates have impacted our net income. Recent supply chain constraints have led to higher inflation, which, if sustained, could have a negative impact on our product development and operations. If inflation or other factors were to significantly increase our business costs, our ability to develop our current pipeline and new therapeutic products may be negatively affected. Current capital market conditions, including the impact of inflation, have increased borrowing rates and can be expected to significantly increase our cost of capital as compared to prior periods and could also affect our ability to raise capital on favorable terms, or at all, in order to fund our operations. Similarly, these macroeconomic factors could affect the ability of our third-party suppliers and manufacturers to manufacture clinical trial materials for our product candidates.</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Risks Related to our Charter and Bylaws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restated certificate of incorporation (certificate of incorporation) and amended and restated bylaws contain provisions that could delay or prevent a change of control of our company or changes in our board of directors that our stockholders might consider favorable. Some of these provisions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board of directors divided into three classes serving staggered three-year terms, such that not all members of the board will be elected at one time;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prohibition on stockholder action through written consent, which requires that all stockholder actions be taken at a meeting of our stockholders;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requirement that special meetings of stockholders be called only by the chairman of the board of directors, the chief executive officer, or by a majority of the total number of authorized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advance notice requirements for stockholder proposals and nominations for election to our board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requirement that no member of our board of directors may be removed from office by our stockholders except for cause and, in addition to any other vote required by law, upon the approval of the holders of not less than 75% of the votes that all our stockholders would be entitled to cast in an annual election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requirement of approval of not less than 75% of all outstanding shares of our voting stock to amend any bylaws by stockholder action or to amend specific provisions of our certificate of incorporation;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authority of the board of directors to issue preferred stock on terms determined by the board of directors without stockholder approval and which preferred stock may include rights superior to the rights of the holders of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amended and restated bylaws provides that, unless we consent in writing to the selection of an alternative forum, the Court of Chancery of the State of Delaware will be the sole and exclusive forum for most legal actions between us and our stockholders, which could limit our stockholders’ ability to obtain a favorable judicial forum for disputes with us or our directors, officers, employees or agents.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amended and restated bylaws specifies that, unless we consent in writing to the selection of an alternative forum, the Court of Chancery of the State of Delaware will be the sole and exclusive forum for (i) any derivative action or proceeding brought on our behalf, (ii) any action asserting a claim of breach of a fiduciary duty owed by any of our director, officer or other employee to us or our stockholders, (iii) any action asserting a claim arising pursuant to any provision of the Delaware General Corporation Law or our certificate of incorporation or amended and restated bylaws, or (iv) any action asserting a claim against us governed by the internal affairs doctrine (Delaware Forum Provision); provided, however, that the Delaware Forum Provision will not apply to any causes of action arising under the Securities Act or the Exchange Act. This choice of forum provision contained in our amended and restated bylaws will not apply to any causes of action arising under the Securities Act or the Exchange Act. Any person or entity purchasing or otherwise acquiring any interest in shares of our capital stock shall be deemed to have notice of and to have consented to the provisions of our amended and restated bylaws described above; provided, however, that stockholders cannot and will not be deemed to have waived our compliance with the U.S. federal securities laws and the rules and regulations thereunder.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this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officers, employees and agents as it may limit any stockholder’s ability to bring a claim in a judicial forum that such stockholder finds favorable for disputes with us or our directors, officers, employees or agents. The enforceability of similar choice of forum provisions in other companies’ bylaws or certificates of incorporation has been challenged in legal proceedings, and it is possible that, in connection with any applicable action brought against us, a court could find the choice of forum provisions contained in our amended and restated bylaws to be inapplicable or unenforceable in such action. If a court were to find the choice of forum provision contained in our amended and restated bylaws to be inapplicable or unenforceable in an action, we may incur additional costs associated with resolving such action in other jurisdictions, which could adversely affect our business, financial condition or results of operations.</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General Risk Factors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a Smaller Reporting Company (SRC) and the reduced disclosure requirements applicable to SRCs may make our common stock less attractive to investors.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considered a SRC under Rule 12b-2 of the Exchange Act. We are therefore entitled to rely on certain reduced disclosure requirements, such as an exemption from providing selected financial data and executive compensation information. These exemptions and reduced disclosures in our SEC filings due to our status as a smaller reporting company also mean our auditors are not required to review our internal control over financial reporting and may make it harder for investors to analyze our results of operations and financial prospects. We cannot predict if investors will find our common stock less attractive because we may rely on these exemptions. If some investors find our common stock less attractive as a result, there may be a less active trading market for our common stock and our common stock prices may be more volatile. We will remain a smaller reporting company for as long as (i) the market value of our common stock held by non-affiliates is less than $250.0 million or (ii) our annual revenue is less than $100.0 million during the most recently completed fiscal year and the market value of our common stock held by non-affiliates is less than $700.0 million as of the prior June 30.</w:t>
      </w:r>
    </w:p>
    <w:p>
      <w:pPr>
        <w:pStyle w:val="TextBody"/>
        <w:bidi w:val="0"/>
        <w:jc w:val="both"/>
        <w:rPr>
          <w:rFonts w:ascii="Times New Roman" w:hAnsi="Times New Roman"/>
          <w:sz w:val="20"/>
        </w:rPr>
      </w:pPr>
      <w:r>
        <w:rPr>
          <w:rFonts w:ascii="Times New Roman" w:hAnsi="Times New Roman"/>
          <w:color w:val="000000"/>
          <w:sz w:val="20"/>
        </w:rPr>
        <w:br/>
      </w:r>
      <w:r>
        <w:rPr>
          <w:rFonts w:ascii="Times New Roman" w:hAnsi="Times New Roman"/>
          <w:b/>
          <w:i/>
          <w:color w:val="000000"/>
          <w:sz w:val="20"/>
        </w:rPr>
        <w:t>We have broad discretion over the use of our cash, cash equivalents and short-term investments and may not use them effectively.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management has broad discretion to use our cash, cash equivalents and short-term investments to fund our operations and could spend these funds in ways that do not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Pending our use to fund operations, we may invest our cash and cash equivalents in a manner that does not produce income or that loses value.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br/>
      </w:r>
      <w:r>
        <w:rPr>
          <w:rFonts w:ascii="Times New Roman" w:hAnsi="Times New Roman"/>
          <w:b/>
          <w:i/>
          <w:color w:val="000000"/>
          <w:sz w:val="20"/>
        </w:rPr>
        <w:t>We do not anticipate paying any cash dividends on our capital stock in the foreseeable future. Accordingly, stockholders must rely on capital appreciation, if any, for any return on their investment.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never declared nor paid cash dividends on our capital stock. We currently plan to retain all of our future earnings, if any, to finance the operation, development and growth of our business. In addition, the terms of any future debt or credit agreements may preclude us from paying dividends. As a result, capital appreciation, if any, of our common stock will be your sole source of gain for the foreseeable future.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securities or industry analysts do not publish research or publish inaccurate or unfavorable research about our business, our share price and trading volume could decline.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trading market for our common stock will be influenced by the research and reports that industry or securities analysts publish about us or our business. If one or more of the analysts who cover us issues an adverse opinion about our company, our stock price would likely decline. If one or more of these analysts ceases research coverage of us or fails to regularly publish reports on us, we could lose visibility in the financial markets, which in turn could cause our stock price or trading volume to decline.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product liability lawsuits are brought against us, we may incur substantial liabilities and may be required to limit commercialization of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face an inherent risk of product liability as a result of the future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themselves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decreased demand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injury to our reputation;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withdrawal of clinical trial participants;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initiation of investigations by regulators;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to defend the related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diversion of management’s time and our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substantial monetary awards to trial participants or patients;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recalls, withdrawals or labeling, marketing or promotional restrictions;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of revenue;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exhaustion of any available insurance and our capital resources;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inability to commercialize any product candidate.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inability to obtain sufficient product liability insurance at an acceptable cost to protect against potential product liability claims could prevent or inhibit the commercialization of products we develop, alone or with corporate collaborators. Our insurance policies may also have various exclusions, and we may be subject to a product liability claim for which we have no coverage. Assuming we obtain clinical trial insurance for our clinical trials, we may have to pay amounts awarded by a court or negotiated in a settlement that exceeds our coverage limitations or that are not covered by our insurance, and we may not have, or be able to obtain, sufficient capital to pay such amounts. Even if our agreements with any future corporate collaborators entitle it to indemnification against losses, such indemnification may not be available or adequate should any claim arise.</w:t>
      </w:r>
    </w:p>
    <w:p>
      <w:pPr>
        <w:pStyle w:val="TextBody"/>
        <w:bidi w:val="0"/>
        <w:jc w:val="both"/>
        <w:rPr>
          <w:rFonts w:ascii="Times New Roman" w:hAnsi="Times New Roman"/>
          <w:sz w:val="20"/>
        </w:rPr>
      </w:pPr>
      <w:r>
        <w:rPr>
          <w:rFonts w:ascii="Times New Roman" w:hAnsi="Times New Roman"/>
          <w:color w:val="000000"/>
          <w:sz w:val="20"/>
        </w:rPr>
        <w:br/>
        <w:t>*</w:t>
      </w:r>
      <w:r>
        <w:rPr>
          <w:rFonts w:ascii="Times New Roman" w:hAnsi="Times New Roman"/>
          <w:b/>
          <w:i/>
          <w:color w:val="000000"/>
          <w:sz w:val="20"/>
        </w:rPr>
        <w:t>Sales of a substantial number of shares of our common stock by our existing stockholders in the public market could cause our stock price to fall.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Sales of a substantial number of shares of our common stock in the public market could occur at any time. These sales, or the perception in the market that holders of a large number of shares intend to sell shares, could reduce the market price of our common stock. Certain holders of our common stock have rights, subject to conditions, to require us to file registration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statements covering their shares or to include their shares in registration statements that we may file for ourselves or other stockholders. Registration of these shares under the Securities Act of 1933, as amended (Securities Act) would result in the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March 6, 2025, we filed a registration statement on Form S-3 (File No. 333-285609) with the SEC, which was declared effective on March 14, 2025 (2025 Shelf Registration Statement), in relation to the registration of common stock, preferred stock, debt securities, warrants and/or units of any combination thereof for the purposes of selling, from time to time, our common stock, debt securities or other equity securities in one or more offerings. Under the 2025 Shelf Registration Statement and a prospectus supplement filed on October 7, 2025, we completed an underwritten registered direct offering of 4,375,062 shares of our common stock, and, in lieu of common stock to certain investors, pre-funded warrants to purchase 625,000 shares of common stock. The shares of common stock were sold at a price of $16.00 per share and the pre-funded warrants were sold at a price of $15.9984 per pre-funded warrant, which represents the pre share price of each share of common stock minus the $0.0016 per share exercise price for each pre-funded warrant. We received $80.0 million in aggregate gross proceeds from the offering, before deducting underwriting discounts and commissions and offering expenses. As a result of this offering, our stockholders experienced significant dilution. If we sell, or the market perceives that we intend to sell, substantial amounts of our common stock under the 2025 Shelf Registration Statement or otherwise, the market price of our common stock could decline significantly.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March 12, 2026, we filed a registration statement on Form S-3 (File No. 333-294265) with the SEC, which was declared effective on March 23, 2026 (2026 Shelf Registration Statement), in relation to the registration of common stock, preferred stock, debt securities, warrants and/or units of any combination thereof for the purposes of selling, from time to time, our common stock, debt securities or other equity securities in one or more offerings. If we sell, or the market perceives that we intend to sell, substantial amounts of our common stock under the 2026 Shelf Registration Statement or otherwise, the market price of our common stock could decline significantly.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also filed registration statements on Form S-8 registering the issuance of shares of common stock issued or reserved for future issuance under our equity compensation plans. Shares registered under these registration statements on Form S-8 can be freely sold in the public market upon issuance and once vested, subject to volume limitations applicable to affiliates and the lock-up agreements described above. If any of these additional shares are sold, or if it is perceived that they will be sold, in the public market, the market price of our common stock could decline.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certain of our employees, executive officers, and directors may enter into Rule 10b5-1 trading plans providing for sales of shares of our common stock from time to time. Under a Rule 10b5-1 trading plan, a broker executes trades pursuant to parameters established by the employee, director, or officer when entering into the plan, without further direction from the employee, officer, or director. A Rule 10b5-1 trading plan may be amended or terminated in some circumstances. Our employees, executive officers, and directors also may buy or sell additional shares outside of a Rule 10b5-1 trading plan when they are not in possession of material, nonpublic information.</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7" w:name="item_2_unregistered_sales_equity_securit"/>
      <w:bookmarkEnd w:id="17"/>
      <w:r>
        <w:rPr>
          <w:rFonts w:ascii="Times New Roman" w:hAnsi="Times New Roman"/>
          <w:b/>
          <w:color w:val="000000"/>
          <w:sz w:val="20"/>
        </w:rPr>
        <w:t>Item 2. Unregistered Sales of Equity Securities, Use of Proceeds, and Issuer Purchases of Equity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18" w:name="item_3_defaults_upon_senior_securities"/>
      <w:bookmarkEnd w:id="18"/>
      <w:r>
        <w:rPr>
          <w:rFonts w:ascii="Times New Roman" w:hAnsi="Times New Roman"/>
          <w:b/>
          <w:color w:val="000000"/>
          <w:sz w:val="20"/>
        </w:rPr>
        <w:t>Item 3. Defaults Upon Senior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9" w:name="item_4_mine_safety_disclosures"/>
      <w:bookmarkEnd w:id="19"/>
      <w:r>
        <w:rPr>
          <w:rFonts w:ascii="Times New Roman" w:hAnsi="Times New Roman"/>
          <w:b/>
          <w:color w:val="000000"/>
          <w:sz w:val="20"/>
        </w:rPr>
        <w:t>Item 4. Mine Safety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sz w:val="20"/>
        </w:rPr>
      </w:pPr>
      <w:bookmarkStart w:id="20" w:name="item_5_or_information"/>
      <w:bookmarkEnd w:id="20"/>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w:t>
      </w:r>
    </w:p>
    <w:p>
      <w:pPr>
        <w:pStyle w:val="TextBody"/>
        <w:bidi w:val="0"/>
        <w:spacing w:before="240" w:after="283"/>
        <w:jc w:val="both"/>
        <w:rPr>
          <w:rFonts w:ascii="Times New Roman" w:hAnsi="Times New Roman"/>
          <w:sz w:val="20"/>
        </w:rPr>
      </w:pPr>
      <w:r>
        <w:rPr>
          <w:rFonts w:ascii="Times New Roman" w:hAnsi="Times New Roman"/>
          <w:i/>
          <w:color w:val="000000"/>
          <w:sz w:val="20"/>
        </w:rPr>
        <w:t>Departure of Chief Medical Officer</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August 3, 2026, Julie Maltzman, M.D. notified Adicet Bio, Inc. (the “Company”) of her resignation as Chief Medical Officer of the Company, effective August 14, 2026 (the “Effective Date”). Dr. Maltzman’s resignation was not the result of any disagreement with the Company or its Board of Directors or any matter relating to the Company’s operations, policies, or practices. The Company has commenced a search for a new Chief Medical Officer.</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Appointment of Interim Chief Medical Officer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Dr. Lloyd Klickstein, M.D., Ph.D. has been appointed as the Company’s Interim Chief Medical Officer, effective August 3,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Dr. Klickstein, age 69, has served as a member of our board of directors since August 2024. Dr. Klickstein has served as president and chief executive officer of Koslapp Therapeutics, Inc. since April 2024. From February 2021 to March 2024, Dr. Klickstein served as the founding chief executive officer and subsequently as president and chief scientific officer of Versanis Bio, Inc., a biopharmaceutical company that addressed medical conditions prevalent in older adults. Previously, Dr. Klickstein served as chief innovation officer of Adicet Bio from September 2020 to February 2021 and as chief scientific officer of resTORbio from May 2018 to September 2020. Prior to joining resTORbio, Dr. Klickstein was Head of Translational Medicine for the New Indication Discovery Unit (NIDU) and the Exploratory Disease Area (DAx) at Novartis Institutes for Biomedical Research. Dr. Klickstein received his B.S. degree from Tufts University, his M.D. and Ph.D. degrees from Harvard University, completed post-graduate clinical training in Internal Medicine, Rheumatology &amp; Immunology at BWH and a post-doctoral research fellowship at the Center for Blood Research in Boston.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Dr. Klickstein and the Company have entered into a Consulting Agreement, dated August 5, 2026 (the “Consulting Agreement”), effective as of August 3, 2026, pursuant to which Dr. Klickstein has agreed to serve as interim Chief Medical Officer on a full-time basis during the term of the Consulting Agreement. As compensation for his services under the Consulting Agreement, Dr. Klickstein shall be paid $42,500 per month, is eligible for an additional cash incentive payment equal to forty (40) percent of the fees paid under the Agreement, and was granted an option to purchase 18,300 shares of the Company’s common stock at a per share exercise price based on the closing price of the Company’s common stock on The Nasdaq Capital Market as of August 5, 2026.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are no other arrangements or understandings between Dr. Klickstein and any other persons pursuant to which Dr. Klickstein was appointed as interim Chief Medical Officer of the Company. There is no family relationship between Dr. Klickstein and any director or executive officer of the Company. There are no transactions between Dr. Klickstein and the Company that would be required to be reported under Item 404(a) of Regulation S-K.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foregoing description of the Consulting Agreement does not purport to be complete and is subject to, and qualified in its entirety by, the final Consulting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 None of our directors or “officers,” as defined in Rule 16a-1(f) under the Securities Exchange Act of 1934, adopted or terminated a Rule 10b5-1 trading plan or arrangement or a non-Rule 10b5-1 trading plan or arrangement, as defined in Item 408(c) of Regulation S-K, during the fiscal quarter covered by this report.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21" w:name="item_6_exhibits"/>
      <w:bookmarkEnd w:id="21"/>
      <w:r>
        <w:rPr>
          <w:rFonts w:ascii="Times New Roman" w:hAnsi="Times New Roman"/>
          <w:b/>
          <w:color w:val="000000"/>
          <w:sz w:val="20"/>
        </w:rPr>
        <w:t>Item 6. Exhibits.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exhibits filed as part of this Quarterly Report on Form 10-Q are set forth on the Exhibit Index, which is incorporated herein by reference.</w:t>
      </w:r>
    </w:p>
    <w:p>
      <w:pPr>
        <w:pStyle w:val="TextBody"/>
        <w:bidi w:val="0"/>
        <w:spacing w:before="240" w:after="283"/>
        <w:jc w:val="center"/>
        <w:rPr>
          <w:rFonts w:ascii="Times New Roman" w:hAnsi="Times New Roman"/>
          <w:sz w:val="20"/>
        </w:rPr>
      </w:pPr>
      <w:bookmarkStart w:id="22" w:name="exhibit_index"/>
      <w:bookmarkEnd w:id="22"/>
      <w:r>
        <w:rPr>
          <w:rFonts w:ascii="Times New Roman" w:hAnsi="Times New Roman"/>
          <w:b/>
          <w:color w:val="000000"/>
          <w:sz w:val="20"/>
        </w:rPr>
        <w:t>EXHIBIT</w:t>
      </w:r>
      <w:r>
        <w:rPr>
          <w:rFonts w:ascii="Times New Roman" w:hAnsi="Times New Roman"/>
          <w:color w:val="000000"/>
          <w:sz w:val="20"/>
        </w:rPr>
        <w:t xml:space="preserve"> </w:t>
      </w:r>
      <w:r>
        <w:rPr>
          <w:rFonts w:ascii="Times New Roman" w:hAnsi="Times New Roman"/>
          <w:b/>
          <w:color w:val="000000"/>
          <w:sz w:val="20"/>
        </w:rPr>
        <w:t>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78"/>
        <w:gridCol w:w="146"/>
        <w:gridCol w:w="890"/>
        <w:gridCol w:w="8291"/>
      </w:tblGrid>
      <w:tr>
        <w:trPr/>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291" w:type="dxa"/>
            <w:tcBorders/>
            <w:vAlign w:val="center"/>
          </w:tcPr>
          <w:p>
            <w:pPr>
              <w:pStyle w:val="TableContents"/>
              <w:bidi w:val="0"/>
              <w:spacing w:before="0" w:after="283"/>
              <w:jc w:val="left"/>
              <w:rPr>
                <w:sz w:val="4"/>
                <w:szCs w:val="4"/>
              </w:rPr>
            </w:pPr>
            <w:r>
              <w:rPr>
                <w:sz w:val="4"/>
                <w:szCs w:val="4"/>
              </w:rPr>
            </w:r>
          </w:p>
        </w:tc>
      </w:tr>
      <w:tr>
        <w:trPr/>
        <w:tc>
          <w:tcPr>
            <w:tcW w:w="878"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036"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r>
      <w:tr>
        <w:trPr/>
        <w:tc>
          <w:tcPr>
            <w:tcW w:w="8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Restated Certificate of Incorporation of the Registrant (as currently in effect) (incorporated by reference to Exhibit 3.1 to the Registrant’s Annual Report on Form 10-K (File No. 001-38359) filed with the SEC on March 12, 2026).</w:t>
              </w:r>
            </w:hyperlink>
          </w:p>
        </w:tc>
      </w:tr>
      <w:tr>
        <w:trPr/>
        <w:tc>
          <w:tcPr>
            <w:tcW w:w="8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of the Registrant (as currently in effect) (incorporated by reference to Exhibit 3.2 to the Registrant’s Current Report on Form 8-K (File No. 001-38359) filed with the SEC on January 30, 2018).</w:t>
              </w:r>
            </w:hyperlink>
          </w:p>
        </w:tc>
      </w:tr>
      <w:tr>
        <w:trPr/>
        <w:tc>
          <w:tcPr>
            <w:tcW w:w="8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8"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4.1</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Form of Pre-Funded Warrant (incorporated by reference to Exhibit 4.1 to the Registrant’s Current Report on Form 8-K (File No. 001-38359) filed with the SEC on October 7, 2025).</w:t>
              </w:r>
            </w:hyperlink>
            <w:hyperlink r:id="rId5">
              <w:r>
                <w:rPr>
                  <w:rStyle w:val="InternetLink"/>
                  <w:rFonts w:ascii="Times New Roman" w:hAnsi="Times New Roman"/>
                  <w:color w:val="0000FF"/>
                  <w:sz w:val="20"/>
                </w:rPr>
                <w:t xml:space="preserve"> </w:t>
              </w:r>
            </w:hyperlink>
          </w:p>
        </w:tc>
      </w:tr>
      <w:tr>
        <w:trPr/>
        <w:tc>
          <w:tcPr>
            <w:tcW w:w="8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Form of Pre-Funded Warrant (incorporated by reference to Exhibit 4.1 to the Registrant’s Current Report on Form 8-K (File No. 001-38359) filed with the SEC on April 28, 2026).</w:t>
              </w:r>
            </w:hyperlink>
            <w:hyperlink r:id="rId7">
              <w:r>
                <w:rPr>
                  <w:rStyle w:val="InternetLink"/>
                  <w:rFonts w:ascii="Times New Roman" w:hAnsi="Times New Roman"/>
                  <w:color w:val="0000FF"/>
                  <w:sz w:val="20"/>
                </w:rPr>
                <w:t xml:space="preserve"> </w:t>
              </w:r>
            </w:hyperlink>
          </w:p>
        </w:tc>
      </w:tr>
      <w:tr>
        <w:trPr/>
        <w:tc>
          <w:tcPr>
            <w:tcW w:w="8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acet-ex10_1.htm">
              <w:r>
                <w:rPr>
                  <w:rStyle w:val="InternetLink"/>
                  <w:rFonts w:ascii="Times New Roman" w:hAnsi="Times New Roman"/>
                  <w:color w:val="0000FF"/>
                  <w:sz w:val="20"/>
                  <w:u w:val="single"/>
                </w:rPr>
                <w:t>Amended and Restated Non-Employee Director Compensation Policy</w:t>
              </w:r>
            </w:hyperlink>
          </w:p>
        </w:tc>
      </w:tr>
      <w:tr>
        <w:trPr/>
        <w:tc>
          <w:tcPr>
            <w:tcW w:w="8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acet-ex31_1.htm">
              <w:r>
                <w:rPr>
                  <w:rStyle w:val="InternetLink"/>
                  <w:rFonts w:ascii="Times New Roman" w:hAnsi="Times New Roman"/>
                  <w:color w:val="0000FF"/>
                  <w:sz w:val="20"/>
                  <w:u w:val="single"/>
                </w:rPr>
                <w:t>Certification of Principal Executive Officer pursuant to Rule 13a-14(a) and Rule 15d-14(a) of the Securities Exchange Act of 1934, as adopted pursuant to Section 302 of the Sarbanes-Oxley Act of 2002, as amended.</w:t>
              </w:r>
            </w:hyperlink>
          </w:p>
        </w:tc>
      </w:tr>
      <w:tr>
        <w:trPr/>
        <w:tc>
          <w:tcPr>
            <w:tcW w:w="8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acet-ex31_2.htm">
              <w:r>
                <w:rPr>
                  <w:rStyle w:val="InternetLink"/>
                  <w:rFonts w:ascii="Times New Roman" w:hAnsi="Times New Roman"/>
                  <w:color w:val="0000FF"/>
                  <w:sz w:val="20"/>
                  <w:u w:val="single"/>
                </w:rPr>
                <w:t>Certification of Principal Financial Officer Pursuant to Rules 13a-14(a) and 15d-14(a) under the Securities Exchange Act of 1934, as amended</w:t>
              </w:r>
            </w:hyperlink>
            <w:r>
              <w:rPr>
                <w:rFonts w:ascii="Times New Roman" w:hAnsi="Times New Roman"/>
                <w:color w:val="0000FF"/>
                <w:sz w:val="20"/>
              </w:rPr>
              <w:t>.</w:t>
            </w:r>
          </w:p>
        </w:tc>
      </w:tr>
      <w:tr>
        <w:trPr/>
        <w:tc>
          <w:tcPr>
            <w:tcW w:w="8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acet-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p>
        </w:tc>
      </w:tr>
      <w:tr>
        <w:trPr/>
        <w:tc>
          <w:tcPr>
            <w:tcW w:w="8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r>
      <w:tr>
        <w:trPr/>
        <w:tc>
          <w:tcPr>
            <w:tcW w:w="8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1"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8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1"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The certifications furnished in Exhibit 32.1 hereto are deemed to be furnished with this Quarterly Report on Form 10-Q and will not be deemed to be “filed” for purposes of Section 18 of the Securities Exchange Act of 1934, as amended, except to the extent that the Registrant specifically incorporates it by reference.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3" w:name="signatures"/>
      <w:bookmarkEnd w:id="23"/>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007" w:type="dxa"/>
        <w:jc w:val="left"/>
        <w:tblInd w:w="0" w:type="dxa"/>
        <w:tblLayout w:type="fixed"/>
        <w:tblCellMar>
          <w:top w:w="28" w:type="dxa"/>
          <w:left w:w="28" w:type="dxa"/>
          <w:bottom w:w="28" w:type="dxa"/>
          <w:right w:w="28" w:type="dxa"/>
        </w:tblCellMar>
      </w:tblPr>
      <w:tblGrid>
        <w:gridCol w:w="1846"/>
        <w:gridCol w:w="109"/>
        <w:gridCol w:w="406"/>
        <w:gridCol w:w="364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ADICET BIO, INC.</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6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Chen Schor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Chen Schor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6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Nick Harvey</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Nick Harvey</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right"/>
        <w:rPr/>
      </w:pPr>
      <w:bookmarkStart w:id="24" w:name="acet-ex10_1.htm"/>
      <w:bookmarkStart w:id="25" w:name="ksacetex10_1"/>
      <w:bookmarkEnd w:id="24"/>
      <w:bookmarkEnd w:id="25"/>
      <w:r>
        <w:rPr/>
        <w:t> </w:t>
      </w:r>
      <w:r>
        <w:br w:type="page"/>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10.1</w:t>
      </w:r>
    </w:p>
    <w:p>
      <w:pPr>
        <w:pStyle w:val="TextBody"/>
        <w:bidi w:val="0"/>
        <w:jc w:val="left"/>
        <w:rPr/>
      </w:pPr>
      <w:r>
        <w:rPr/>
        <w:t> </w:t>
      </w:r>
    </w:p>
    <w:p>
      <w:pPr>
        <w:pStyle w:val="TextBody"/>
        <w:bidi w:val="0"/>
        <w:jc w:val="center"/>
        <w:rPr>
          <w:rFonts w:ascii="Times New Roman" w:hAnsi="Times New Roman"/>
          <w:b/>
          <w:caps/>
          <w:color w:val="000000"/>
          <w:sz w:val="24"/>
        </w:rPr>
      </w:pPr>
      <w:r>
        <w:rPr>
          <w:rFonts w:ascii="Times New Roman" w:hAnsi="Times New Roman"/>
          <w:b/>
          <w:caps/>
          <w:color w:val="000000"/>
          <w:sz w:val="24"/>
        </w:rPr>
        <w:t>ADICET BIO, INC.</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AMENDED AND RESTATED NON-EMPLOYEE DIRECTOR COMPENSATION POLICY</w:t>
      </w:r>
    </w:p>
    <w:p>
      <w:pPr>
        <w:pStyle w:val="TextBody"/>
        <w:bidi w:val="0"/>
        <w:spacing w:before="15" w:after="283"/>
        <w:jc w:val="left"/>
        <w:rPr/>
      </w:pPr>
      <w:r>
        <w:rPr/>
        <w:t> </w:t>
      </w:r>
    </w:p>
    <w:p>
      <w:pPr>
        <w:pStyle w:val="TextBody"/>
        <w:bidi w:val="0"/>
        <w:jc w:val="left"/>
        <w:rPr>
          <w:rFonts w:ascii="Times New Roman" w:hAnsi="Times New Roman"/>
          <w:sz w:val="20"/>
        </w:rPr>
      </w:pP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purpose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Amended and Restated Non-Employee Director</w:t>
      </w:r>
      <w:r>
        <w:rPr>
          <w:rFonts w:ascii="Times New Roman" w:hAnsi="Times New Roman"/>
          <w:color w:val="000000"/>
          <w:sz w:val="20"/>
        </w:rPr>
        <w:t xml:space="preserve"> </w:t>
      </w:r>
      <w:r>
        <w:rPr>
          <w:rFonts w:ascii="Times New Roman" w:hAnsi="Times New Roman"/>
          <w:color w:val="000000"/>
          <w:sz w:val="24"/>
        </w:rPr>
        <w:t>Compensation</w:t>
      </w:r>
      <w:r>
        <w:rPr>
          <w:rFonts w:ascii="Times New Roman" w:hAnsi="Times New Roman"/>
          <w:color w:val="000000"/>
          <w:sz w:val="20"/>
        </w:rPr>
        <w:t xml:space="preserve"> </w:t>
      </w:r>
      <w:r>
        <w:rPr>
          <w:rFonts w:ascii="Times New Roman" w:hAnsi="Times New Roman"/>
          <w:color w:val="000000"/>
          <w:sz w:val="24"/>
        </w:rPr>
        <w:t>Policy (the “Policy”) of</w:t>
      </w:r>
      <w:r>
        <w:rPr>
          <w:rFonts w:ascii="Times New Roman" w:hAnsi="Times New Roman"/>
          <w:color w:val="000000"/>
          <w:sz w:val="20"/>
        </w:rPr>
        <w:t xml:space="preserve"> </w:t>
      </w:r>
      <w:r>
        <w:rPr>
          <w:rFonts w:ascii="Times New Roman" w:hAnsi="Times New Roman"/>
          <w:color w:val="000000"/>
          <w:sz w:val="24"/>
        </w:rPr>
        <w:t>Adicet Bio, Inc.</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Company</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to provide</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total</w:t>
      </w:r>
      <w:r>
        <w:rPr>
          <w:rFonts w:ascii="Times New Roman" w:hAnsi="Times New Roman"/>
          <w:color w:val="000000"/>
          <w:sz w:val="20"/>
        </w:rPr>
        <w:t xml:space="preserve"> </w:t>
      </w:r>
      <w:r>
        <w:rPr>
          <w:rFonts w:ascii="Times New Roman" w:hAnsi="Times New Roman"/>
          <w:color w:val="000000"/>
          <w:sz w:val="24"/>
        </w:rPr>
        <w:t>compensation</w:t>
      </w:r>
      <w:r>
        <w:rPr>
          <w:rFonts w:ascii="Times New Roman" w:hAnsi="Times New Roman"/>
          <w:color w:val="000000"/>
          <w:sz w:val="20"/>
        </w:rPr>
        <w:t xml:space="preserve"> </w:t>
      </w:r>
      <w:r>
        <w:rPr>
          <w:rFonts w:ascii="Times New Roman" w:hAnsi="Times New Roman"/>
          <w:color w:val="000000"/>
          <w:sz w:val="24"/>
        </w:rPr>
        <w:t>package</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enables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Company to</w:t>
      </w:r>
      <w:r>
        <w:rPr>
          <w:rFonts w:ascii="Times New Roman" w:hAnsi="Times New Roman"/>
          <w:color w:val="000000"/>
          <w:sz w:val="20"/>
        </w:rPr>
        <w:t xml:space="preserve"> </w:t>
      </w:r>
      <w:r>
        <w:rPr>
          <w:rFonts w:ascii="Times New Roman" w:hAnsi="Times New Roman"/>
          <w:color w:val="000000"/>
          <w:sz w:val="24"/>
        </w:rPr>
        <w:t>attract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retain,</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long-term</w:t>
      </w:r>
      <w:r>
        <w:rPr>
          <w:rFonts w:ascii="Times New Roman" w:hAnsi="Times New Roman"/>
          <w:color w:val="000000"/>
          <w:sz w:val="20"/>
        </w:rPr>
        <w:t xml:space="preserve"> </w:t>
      </w:r>
      <w:r>
        <w:rPr>
          <w:rFonts w:ascii="Times New Roman" w:hAnsi="Times New Roman"/>
          <w:color w:val="000000"/>
          <w:sz w:val="24"/>
        </w:rPr>
        <w:t>basis,</w:t>
      </w:r>
      <w:r>
        <w:rPr>
          <w:rFonts w:ascii="Times New Roman" w:hAnsi="Times New Roman"/>
          <w:color w:val="000000"/>
          <w:sz w:val="20"/>
        </w:rPr>
        <w:t xml:space="preserve"> </w:t>
      </w:r>
      <w:r>
        <w:rPr>
          <w:rFonts w:ascii="Times New Roman" w:hAnsi="Times New Roman"/>
          <w:color w:val="000000"/>
          <w:sz w:val="24"/>
        </w:rPr>
        <w:t>high-caliber</w:t>
      </w:r>
      <w:r>
        <w:rPr>
          <w:rFonts w:ascii="Times New Roman" w:hAnsi="Times New Roman"/>
          <w:color w:val="000000"/>
          <w:sz w:val="20"/>
        </w:rPr>
        <w:t xml:space="preserve"> </w:t>
      </w:r>
      <w:r>
        <w:rPr>
          <w:rFonts w:ascii="Times New Roman" w:hAnsi="Times New Roman"/>
          <w:color w:val="000000"/>
          <w:sz w:val="24"/>
        </w:rPr>
        <w:t>directors</w:t>
      </w:r>
      <w:r>
        <w:rPr>
          <w:rFonts w:ascii="Times New Roman" w:hAnsi="Times New Roman"/>
          <w:color w:val="000000"/>
          <w:sz w:val="20"/>
        </w:rPr>
        <w:t xml:space="preserve"> </w:t>
      </w:r>
      <w:r>
        <w:rPr>
          <w:rFonts w:ascii="Times New Roman" w:hAnsi="Times New Roman"/>
          <w:color w:val="000000"/>
          <w:sz w:val="24"/>
        </w:rPr>
        <w:t>who</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employees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officers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Company or</w:t>
      </w:r>
      <w:r>
        <w:rPr>
          <w:rFonts w:ascii="Times New Roman" w:hAnsi="Times New Roman"/>
          <w:color w:val="000000"/>
          <w:sz w:val="20"/>
        </w:rPr>
        <w:t xml:space="preserve"> </w:t>
      </w:r>
      <w:r>
        <w:rPr>
          <w:rFonts w:ascii="Times New Roman" w:hAnsi="Times New Roman"/>
          <w:color w:val="000000"/>
          <w:sz w:val="24"/>
        </w:rPr>
        <w:t>its subsidiaries. In</w:t>
      </w:r>
      <w:r>
        <w:rPr>
          <w:rFonts w:ascii="Times New Roman" w:hAnsi="Times New Roman"/>
          <w:color w:val="000000"/>
          <w:sz w:val="20"/>
        </w:rPr>
        <w:t xml:space="preserve"> </w:t>
      </w:r>
      <w:r>
        <w:rPr>
          <w:rFonts w:ascii="Times New Roman" w:hAnsi="Times New Roman"/>
          <w:color w:val="000000"/>
          <w:sz w:val="24"/>
        </w:rPr>
        <w:t>furtherance 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purpose stated</w:t>
      </w:r>
      <w:r>
        <w:rPr>
          <w:rFonts w:ascii="Times New Roman" w:hAnsi="Times New Roman"/>
          <w:color w:val="000000"/>
          <w:sz w:val="20"/>
        </w:rPr>
        <w:t xml:space="preserve"> </w:t>
      </w:r>
      <w:r>
        <w:rPr>
          <w:rFonts w:ascii="Times New Roman" w:hAnsi="Times New Roman"/>
          <w:color w:val="000000"/>
          <w:sz w:val="24"/>
        </w:rPr>
        <w:t>above,</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non-employee directors shall</w:t>
      </w:r>
      <w:r>
        <w:rPr>
          <w:rFonts w:ascii="Times New Roman" w:hAnsi="Times New Roman"/>
          <w:color w:val="000000"/>
          <w:sz w:val="20"/>
        </w:rPr>
        <w:t xml:space="preserve"> </w:t>
      </w:r>
      <w:r>
        <w:rPr>
          <w:rFonts w:ascii="Times New Roman" w:hAnsi="Times New Roman"/>
          <w:color w:val="000000"/>
          <w:sz w:val="24"/>
        </w:rPr>
        <w:t>be paid compensation for services provided to the</w:t>
      </w:r>
      <w:r>
        <w:rPr>
          <w:rFonts w:ascii="Times New Roman" w:hAnsi="Times New Roman"/>
          <w:color w:val="000000"/>
          <w:sz w:val="20"/>
        </w:rPr>
        <w:t xml:space="preserve"> </w:t>
      </w:r>
      <w:r>
        <w:rPr>
          <w:rFonts w:ascii="Times New Roman" w:hAnsi="Times New Roman"/>
          <w:color w:val="000000"/>
          <w:sz w:val="24"/>
        </w:rPr>
        <w:t>Company</w:t>
      </w:r>
      <w:r>
        <w:rPr>
          <w:rFonts w:ascii="Times New Roman" w:hAnsi="Times New Roman"/>
          <w:color w:val="000000"/>
          <w:sz w:val="20"/>
        </w:rPr>
        <w:t xml:space="preserve"> </w:t>
      </w:r>
      <w:r>
        <w:rPr>
          <w:rFonts w:ascii="Times New Roman" w:hAnsi="Times New Roman"/>
          <w:color w:val="000000"/>
          <w:sz w:val="24"/>
        </w:rPr>
        <w:t>as set forth below:</w:t>
      </w:r>
    </w:p>
    <w:p>
      <w:pPr>
        <w:pStyle w:val="TextBody"/>
        <w:bidi w:val="0"/>
        <w:spacing w:before="5" w:after="283"/>
        <w:jc w:val="lef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Cash Retainers</w:t>
      </w:r>
    </w:p>
    <w:p>
      <w:pPr>
        <w:pStyle w:val="TextBody"/>
        <w:bidi w:val="0"/>
        <w:spacing w:before="11" w:after="283"/>
        <w:jc w:val="left"/>
        <w:rPr/>
      </w:pPr>
      <w:r>
        <w:rPr/>
        <w:t> </w:t>
      </w:r>
    </w:p>
    <w:p>
      <w:pPr>
        <w:pStyle w:val="TextBody"/>
        <w:bidi w:val="0"/>
        <w:spacing w:before="29" w:after="283"/>
        <w:jc w:val="left"/>
        <w:rPr>
          <w:rFonts w:ascii="Times New Roman" w:hAnsi="Times New Roman"/>
          <w:sz w:val="20"/>
        </w:rPr>
      </w:pPr>
      <w:r>
        <w:rPr>
          <w:rFonts w:ascii="Times New Roman" w:hAnsi="Times New Roman"/>
          <w:color w:val="000000"/>
          <w:sz w:val="24"/>
          <w:u w:val="single"/>
        </w:rPr>
        <w:t>Annual</w:t>
      </w:r>
      <w:r>
        <w:rPr>
          <w:rFonts w:ascii="Times New Roman" w:hAnsi="Times New Roman"/>
          <w:color w:val="000000"/>
          <w:sz w:val="20"/>
          <w:u w:val="single"/>
        </w:rPr>
        <w:t xml:space="preserve"> </w:t>
      </w:r>
      <w:r>
        <w:rPr>
          <w:rFonts w:ascii="Times New Roman" w:hAnsi="Times New Roman"/>
          <w:color w:val="000000"/>
          <w:sz w:val="24"/>
          <w:u w:val="single"/>
        </w:rPr>
        <w:t>Retainer</w:t>
      </w:r>
      <w:r>
        <w:rPr>
          <w:rFonts w:ascii="Times New Roman" w:hAnsi="Times New Roman"/>
          <w:color w:val="000000"/>
          <w:sz w:val="20"/>
          <w:u w:val="single"/>
        </w:rPr>
        <w:t xml:space="preserve"> </w:t>
      </w:r>
      <w:r>
        <w:rPr>
          <w:rFonts w:ascii="Times New Roman" w:hAnsi="Times New Roman"/>
          <w:color w:val="000000"/>
          <w:sz w:val="24"/>
          <w:u w:val="single"/>
        </w:rPr>
        <w:t>for</w:t>
      </w:r>
      <w:r>
        <w:rPr>
          <w:rFonts w:ascii="Times New Roman" w:hAnsi="Times New Roman"/>
          <w:color w:val="000000"/>
          <w:sz w:val="20"/>
          <w:u w:val="single"/>
        </w:rPr>
        <w:t xml:space="preserve"> </w:t>
      </w:r>
      <w:r>
        <w:rPr>
          <w:rFonts w:ascii="Times New Roman" w:hAnsi="Times New Roman"/>
          <w:color w:val="000000"/>
          <w:sz w:val="24"/>
          <w:u w:val="single"/>
        </w:rPr>
        <w:t>Board</w:t>
      </w:r>
      <w:r>
        <w:rPr>
          <w:rFonts w:ascii="Times New Roman" w:hAnsi="Times New Roman"/>
          <w:color w:val="000000"/>
          <w:sz w:val="20"/>
          <w:u w:val="single"/>
        </w:rPr>
        <w:t xml:space="preserve"> </w:t>
      </w:r>
      <w:r>
        <w:rPr>
          <w:rFonts w:ascii="Times New Roman" w:hAnsi="Times New Roman"/>
          <w:color w:val="000000"/>
          <w:sz w:val="24"/>
          <w:u w:val="single"/>
        </w:rPr>
        <w:t>Membership</w:t>
      </w:r>
      <w:r>
        <w:rPr>
          <w:rFonts w:ascii="Times New Roman" w:hAnsi="Times New Roman"/>
          <w:color w:val="000000"/>
          <w:sz w:val="24"/>
        </w:rPr>
        <w:t>: $40,000 for</w:t>
      </w:r>
      <w:r>
        <w:rPr>
          <w:rFonts w:ascii="Times New Roman" w:hAnsi="Times New Roman"/>
          <w:color w:val="000000"/>
          <w:sz w:val="20"/>
        </w:rPr>
        <w:t xml:space="preserve"> </w:t>
      </w:r>
      <w:r>
        <w:rPr>
          <w:rFonts w:ascii="Times New Roman" w:hAnsi="Times New Roman"/>
          <w:color w:val="000000"/>
          <w:sz w:val="24"/>
        </w:rPr>
        <w:t>general</w:t>
      </w:r>
      <w:r>
        <w:rPr>
          <w:rFonts w:ascii="Times New Roman" w:hAnsi="Times New Roman"/>
          <w:color w:val="000000"/>
          <w:sz w:val="20"/>
        </w:rPr>
        <w:t xml:space="preserve"> </w:t>
      </w:r>
      <w:r>
        <w:rPr>
          <w:rFonts w:ascii="Times New Roman" w:hAnsi="Times New Roman"/>
          <w:color w:val="000000"/>
          <w:sz w:val="24"/>
        </w:rPr>
        <w:t>availability</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participation</w:t>
      </w:r>
      <w:r>
        <w:rPr>
          <w:rFonts w:ascii="Times New Roman" w:hAnsi="Times New Roman"/>
          <w:color w:val="000000"/>
          <w:sz w:val="20"/>
        </w:rPr>
        <w:t xml:space="preserve"> </w:t>
      </w:r>
      <w:r>
        <w:rPr>
          <w:rFonts w:ascii="Times New Roman" w:hAnsi="Times New Roman"/>
          <w:color w:val="000000"/>
          <w:sz w:val="24"/>
        </w:rPr>
        <w:t>in meetings and</w:t>
      </w:r>
      <w:r>
        <w:rPr>
          <w:rFonts w:ascii="Times New Roman" w:hAnsi="Times New Roman"/>
          <w:color w:val="000000"/>
          <w:sz w:val="20"/>
        </w:rPr>
        <w:t xml:space="preserve"> </w:t>
      </w:r>
      <w:r>
        <w:rPr>
          <w:rFonts w:ascii="Times New Roman" w:hAnsi="Times New Roman"/>
          <w:color w:val="000000"/>
          <w:sz w:val="24"/>
        </w:rPr>
        <w:t>conference</w:t>
      </w:r>
      <w:r>
        <w:rPr>
          <w:rFonts w:ascii="Times New Roman" w:hAnsi="Times New Roman"/>
          <w:color w:val="000000"/>
          <w:sz w:val="20"/>
        </w:rPr>
        <w:t xml:space="preserve"> </w:t>
      </w:r>
      <w:r>
        <w:rPr>
          <w:rFonts w:ascii="Times New Roman" w:hAnsi="Times New Roman"/>
          <w:color w:val="000000"/>
          <w:sz w:val="24"/>
        </w:rPr>
        <w:t>calls of our</w:t>
      </w:r>
      <w:r>
        <w:rPr>
          <w:rFonts w:ascii="Times New Roman" w:hAnsi="Times New Roman"/>
          <w:color w:val="000000"/>
          <w:sz w:val="20"/>
        </w:rPr>
        <w:t xml:space="preserve"> </w:t>
      </w:r>
      <w:r>
        <w:rPr>
          <w:rFonts w:ascii="Times New Roman" w:hAnsi="Times New Roman"/>
          <w:color w:val="000000"/>
          <w:sz w:val="24"/>
        </w:rPr>
        <w:t>Board of Directors (the “Board”). No additional compensation will be paid for attending individual meetings of the Board.</w:t>
      </w:r>
    </w:p>
    <w:p>
      <w:pPr>
        <w:pStyle w:val="TextBody"/>
        <w:bidi w:val="0"/>
        <w:spacing w:before="1" w:after="283"/>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Additional Annual Retainer for Non-Executive Chair of the Board</w:t>
      </w:r>
      <w:r>
        <w:rPr>
          <w:rFonts w:ascii="Times New Roman" w:hAnsi="Times New Roman"/>
          <w:color w:val="000000"/>
          <w:sz w:val="24"/>
        </w:rPr>
        <w:t>: $30,000</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u w:val="single"/>
        </w:rPr>
        <w:t>Additional Annual Retainers for</w:t>
      </w:r>
      <w:r>
        <w:rPr>
          <w:rFonts w:ascii="Times New Roman" w:hAnsi="Times New Roman"/>
          <w:color w:val="000000"/>
          <w:sz w:val="20"/>
          <w:u w:val="single"/>
        </w:rPr>
        <w:t xml:space="preserve"> </w:t>
      </w:r>
      <w:r>
        <w:rPr>
          <w:rFonts w:ascii="Times New Roman" w:hAnsi="Times New Roman"/>
          <w:color w:val="000000"/>
          <w:sz w:val="24"/>
          <w:u w:val="single"/>
        </w:rPr>
        <w:t>Committee</w:t>
      </w:r>
      <w:r>
        <w:rPr>
          <w:rFonts w:ascii="Times New Roman" w:hAnsi="Times New Roman"/>
          <w:color w:val="000000"/>
          <w:sz w:val="20"/>
          <w:u w:val="single"/>
        </w:rPr>
        <w:t xml:space="preserve"> </w:t>
      </w:r>
      <w:r>
        <w:rPr>
          <w:rFonts w:ascii="Times New Roman" w:hAnsi="Times New Roman"/>
          <w:color w:val="000000"/>
          <w:sz w:val="24"/>
          <w:u w:val="single"/>
        </w:rPr>
        <w:t>Membership</w:t>
      </w:r>
      <w:r>
        <w:rPr>
          <w:rFonts w:ascii="Times New Roman" w:hAnsi="Times New Roman"/>
          <w:color w:val="000000"/>
          <w:sz w:val="24"/>
        </w:rPr>
        <w:t>:</w:t>
      </w:r>
    </w:p>
    <w:p>
      <w:pPr>
        <w:pStyle w:val="TextBody"/>
        <w:bidi w:val="0"/>
        <w:jc w:val="left"/>
        <w:rPr/>
      </w:pPr>
      <w:r>
        <w:rPr/>
        <w:t> </w:t>
      </w:r>
    </w:p>
    <w:tbl>
      <w:tblPr>
        <w:tblW w:w="6782" w:type="dxa"/>
        <w:jc w:val="left"/>
        <w:tblInd w:w="0" w:type="dxa"/>
        <w:tblLayout w:type="fixed"/>
        <w:tblCellMar>
          <w:top w:w="28" w:type="dxa"/>
          <w:left w:w="28" w:type="dxa"/>
          <w:bottom w:w="28" w:type="dxa"/>
          <w:right w:w="28" w:type="dxa"/>
        </w:tblCellMar>
      </w:tblPr>
      <w:tblGrid>
        <w:gridCol w:w="5851"/>
        <w:gridCol w:w="931"/>
      </w:tblGrid>
      <w:tr>
        <w:trPr/>
        <w:tc>
          <w:tcPr>
            <w:tcW w:w="585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585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Audit Committee Chair:</w:t>
            </w:r>
          </w:p>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$15,000</w:t>
            </w:r>
          </w:p>
        </w:tc>
      </w:tr>
      <w:tr>
        <w:trPr/>
        <w:tc>
          <w:tcPr>
            <w:tcW w:w="585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Audit Committee member:</w:t>
            </w:r>
          </w:p>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$7,500</w:t>
            </w:r>
          </w:p>
        </w:tc>
      </w:tr>
      <w:tr>
        <w:trPr/>
        <w:tc>
          <w:tcPr>
            <w:tcW w:w="585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Compensation Committee Chair:</w:t>
            </w:r>
          </w:p>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$10,000</w:t>
            </w:r>
          </w:p>
        </w:tc>
      </w:tr>
      <w:tr>
        <w:trPr/>
        <w:tc>
          <w:tcPr>
            <w:tcW w:w="585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Compensation Committee member:</w:t>
            </w:r>
          </w:p>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$5,000</w:t>
            </w:r>
          </w:p>
        </w:tc>
      </w:tr>
      <w:tr>
        <w:trPr/>
        <w:tc>
          <w:tcPr>
            <w:tcW w:w="585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Nominating and Corporate Governance Committee Chair:</w:t>
            </w:r>
          </w:p>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$8,000</w:t>
            </w:r>
          </w:p>
        </w:tc>
      </w:tr>
      <w:tr>
        <w:trPr/>
        <w:tc>
          <w:tcPr>
            <w:tcW w:w="58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Nominating and Corporate Governance Committee member:</w:t>
            </w:r>
          </w:p>
        </w:tc>
        <w:tc>
          <w:tcPr>
            <w:tcW w:w="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$4,000</w:t>
            </w:r>
          </w:p>
        </w:tc>
      </w:tr>
    </w:tbl>
    <w:p>
      <w:pPr>
        <w:pStyle w:val="TextBody"/>
        <w:bidi w:val="0"/>
        <w:spacing w:before="16" w:after="283"/>
        <w:jc w:val="left"/>
        <w:rPr/>
      </w:pPr>
      <w:r>
        <w:rPr/>
        <w:t> </w:t>
      </w:r>
    </w:p>
    <w:p>
      <w:pPr>
        <w:pStyle w:val="TextBody"/>
        <w:bidi w:val="0"/>
        <w:spacing w:before="16" w:after="283"/>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No additional compensation for attending individual committee meetings. All cash retainers will be paid quarterly, in arrears, or upon the earlier resignation or removal of the non-employee directors, pro-rated based on the number of actual days served by the director during such calendar quarter. Chair and committee member retainers are in addition to retainers for members of the Board.</w:t>
      </w:r>
    </w:p>
    <w:p>
      <w:pPr>
        <w:pStyle w:val="TextBody"/>
        <w:bidi w:val="0"/>
        <w:spacing w:before="5" w:after="283"/>
        <w:jc w:val="lef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Equity Retainers</w:t>
      </w:r>
    </w:p>
    <w:p>
      <w:pPr>
        <w:pStyle w:val="TextBody"/>
        <w:bidi w:val="0"/>
        <w:spacing w:before="11" w:after="283"/>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u w:val="single"/>
        </w:rPr>
        <w:t>Initial Award</w:t>
      </w:r>
      <w:r>
        <w:rPr>
          <w:rFonts w:ascii="Times New Roman" w:hAnsi="Times New Roman"/>
          <w:color w:val="000000"/>
          <w:sz w:val="24"/>
        </w:rPr>
        <w:t>: An initial, one-time equity award (the “Initial Award”) of 8,400 options to each new non-employee director upon his or her election to the Board, which shall vest in thirty-six (36) equal monthly beginning on the date of grant, however, that all vesting shall cease if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director resigns from the Board or otherwise ceases to serve as a director of the Company. This Initial Award applies only to non-employee directors who are first elected to the Board subsequent to the Company’s initial public offering. If the Initial Award is in the form of a stock option, such stock option shall have a per share exercise price equal to the Fair Market Value (as defined in the Company’s Second Amended and Restated Adicet Bio, Inc. 2018 Stock Option and Incentive Plan (as amended, the “2018 Plan”)) of the Company’s common stock on the date of grant.</w:t>
      </w:r>
    </w:p>
    <w:p>
      <w:pPr>
        <w:pStyle w:val="TextBody"/>
        <w:bidi w:val="0"/>
        <w:spacing w:before="0" w:after="240"/>
        <w:jc w:val="left"/>
        <w:rPr>
          <w:rFonts w:ascii="Times New Roman" w:hAnsi="Times New Roman"/>
          <w:sz w:val="20"/>
        </w:rPr>
      </w:pPr>
      <w:r>
        <w:rPr>
          <w:rFonts w:ascii="Times New Roman" w:hAnsi="Times New Roman"/>
          <w:color w:val="000000"/>
          <w:sz w:val="24"/>
          <w:u w:val="single"/>
        </w:rPr>
        <w:t>Annual Award</w:t>
      </w:r>
      <w:r>
        <w:rPr>
          <w:rFonts w:ascii="Times New Roman" w:hAnsi="Times New Roman"/>
          <w:color w:val="000000"/>
          <w:sz w:val="24"/>
        </w:rPr>
        <w:t>: On each date of the Company’s Annual Meeting of Stockholders following the completion of the Company’s initial public offering (the “Annual Meeting”), each continuing non-employee member of the Board, other than a director receiving an Initial Award, will receive an annual equity award (the “Annual Award”) of 4,200 options, which shall vest in full upon the earlier to occur of the first anniversary of the date of grant or the date of the next Annual Meeting; provided, however, that all vesting shall cease if the director resigns from the Board or otherwise ceases to serve as a director, unless the Board determines that the circumstances warrant continuation of vesting. If the Annual Award is in the form of a stock option, such stock option shall have a per share exercise price equal to the Fair Market Value (as defined in the 2018 Plan) of the Company’s common stock on the date of grant.</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Expenses</w:t>
      </w:r>
    </w:p>
    <w:p>
      <w:pPr>
        <w:pStyle w:val="TextBody"/>
        <w:bidi w:val="0"/>
        <w:spacing w:before="11" w:after="283"/>
        <w:jc w:val="left"/>
        <w:rPr/>
      </w:pPr>
      <w:r>
        <w:rPr/>
        <w:t> </w:t>
      </w:r>
    </w:p>
    <w:p>
      <w:pPr>
        <w:pStyle w:val="TextBody"/>
        <w:bidi w:val="0"/>
        <w:spacing w:before="29" w:after="283"/>
        <w:jc w:val="left"/>
        <w:rPr>
          <w:rFonts w:ascii="Times New Roman" w:hAnsi="Times New Roman"/>
          <w:sz w:val="20"/>
        </w:rPr>
      </w:pP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Company</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reimburse</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reasonable</w:t>
      </w:r>
      <w:r>
        <w:rPr>
          <w:rFonts w:ascii="Times New Roman" w:hAnsi="Times New Roman"/>
          <w:color w:val="000000"/>
          <w:sz w:val="20"/>
        </w:rPr>
        <w:t xml:space="preserve"> </w:t>
      </w:r>
      <w:r>
        <w:rPr>
          <w:rFonts w:ascii="Times New Roman" w:hAnsi="Times New Roman"/>
          <w:color w:val="000000"/>
          <w:sz w:val="24"/>
        </w:rPr>
        <w:t>out-of-pocket</w:t>
      </w:r>
      <w:r>
        <w:rPr>
          <w:rFonts w:ascii="Times New Roman" w:hAnsi="Times New Roman"/>
          <w:color w:val="000000"/>
          <w:sz w:val="20"/>
        </w:rPr>
        <w:t xml:space="preserve"> </w:t>
      </w:r>
      <w:r>
        <w:rPr>
          <w:rFonts w:ascii="Times New Roman" w:hAnsi="Times New Roman"/>
          <w:color w:val="000000"/>
          <w:sz w:val="24"/>
        </w:rPr>
        <w:t>expenses</w:t>
      </w:r>
      <w:r>
        <w:rPr>
          <w:rFonts w:ascii="Times New Roman" w:hAnsi="Times New Roman"/>
          <w:color w:val="000000"/>
          <w:sz w:val="20"/>
        </w:rPr>
        <w:t xml:space="preserve"> </w:t>
      </w:r>
      <w:r>
        <w:rPr>
          <w:rFonts w:ascii="Times New Roman" w:hAnsi="Times New Roman"/>
          <w:color w:val="000000"/>
          <w:sz w:val="24"/>
        </w:rPr>
        <w:t>incurred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non-employee directors in attending</w:t>
      </w:r>
      <w:r>
        <w:rPr>
          <w:rFonts w:ascii="Times New Roman" w:hAnsi="Times New Roman"/>
          <w:color w:val="000000"/>
          <w:sz w:val="20"/>
        </w:rPr>
        <w:t xml:space="preserve"> </w:t>
      </w:r>
      <w:r>
        <w:rPr>
          <w:rFonts w:ascii="Times New Roman" w:hAnsi="Times New Roman"/>
          <w:color w:val="000000"/>
          <w:sz w:val="24"/>
        </w:rPr>
        <w:t>meetings of the</w:t>
      </w:r>
      <w:r>
        <w:rPr>
          <w:rFonts w:ascii="Times New Roman" w:hAnsi="Times New Roman"/>
          <w:color w:val="000000"/>
          <w:sz w:val="20"/>
        </w:rPr>
        <w:t xml:space="preserve"> </w:t>
      </w:r>
      <w:r>
        <w:rPr>
          <w:rFonts w:ascii="Times New Roman" w:hAnsi="Times New Roman"/>
          <w:color w:val="000000"/>
          <w:sz w:val="24"/>
        </w:rPr>
        <w:t>Board 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Committee.</w:t>
      </w:r>
    </w:p>
    <w:p>
      <w:pPr>
        <w:pStyle w:val="TextBody"/>
        <w:bidi w:val="0"/>
        <w:spacing w:before="6" w:after="283"/>
        <w:jc w:val="left"/>
        <w:rPr/>
      </w:pPr>
      <w:r>
        <w:rPr/>
        <w:t> </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Adopted by the Board on December 21, 2017, as amended by the Board on April 30, 2021 and subsequently on January 27, 2022, January 24, 2023 and June 21, 2026.</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acet-ex31_1.htm"/>
      <w:bookmarkStart w:id="27" w:name="ksacetex31_1"/>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EXECUTIVE OFFICER PURSUANT TO RULE 13a-14(a) / RULE 15d-14(a) OF THE SECURITIES EXCHANGE ACT OF 1934, AS AMENDED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Chen Schor,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Adicet Bio,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0" w:after="160"/>
        <w:jc w:val="left"/>
        <w:rPr/>
      </w:pPr>
      <w:r>
        <w:rPr/>
        <w:t> </w:t>
      </w:r>
    </w:p>
    <w:tbl>
      <w:tblPr>
        <w:tblW w:w="5177" w:type="dxa"/>
        <w:jc w:val="left"/>
        <w:tblInd w:w="0" w:type="dxa"/>
        <w:tblLayout w:type="fixed"/>
        <w:tblCellMar>
          <w:top w:w="28" w:type="dxa"/>
          <w:left w:w="28" w:type="dxa"/>
          <w:bottom w:w="28" w:type="dxa"/>
          <w:right w:w="28" w:type="dxa"/>
        </w:tblCellMar>
      </w:tblPr>
      <w:tblGrid>
        <w:gridCol w:w="1846"/>
        <w:gridCol w:w="3331"/>
      </w:tblGrid>
      <w:tr>
        <w:trPr/>
        <w:tc>
          <w:tcPr>
            <w:tcW w:w="184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Chen Schor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Chen Schor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President and Chief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333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acet-ex31_2.htm"/>
      <w:bookmarkStart w:id="29" w:name="ksacetex31_2"/>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FINANCIAL OFFICER PURSUANT TO RULE 13a-14(a) / RULE 15d-14(a) OF THE SECURITIES EXCHANGE ACT OF 1934, AS AMENDED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Nick Harvey,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Adicet Bio,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5777" w:type="dxa"/>
        <w:jc w:val="left"/>
        <w:tblInd w:w="0" w:type="dxa"/>
        <w:tblLayout w:type="fixed"/>
        <w:tblCellMar>
          <w:top w:w="28" w:type="dxa"/>
          <w:left w:w="28" w:type="dxa"/>
          <w:bottom w:w="28" w:type="dxa"/>
          <w:right w:w="28" w:type="dxa"/>
        </w:tblCellMar>
      </w:tblPr>
      <w:tblGrid>
        <w:gridCol w:w="1846"/>
        <w:gridCol w:w="3931"/>
      </w:tblGrid>
      <w:tr>
        <w:trPr/>
        <w:tc>
          <w:tcPr>
            <w:tcW w:w="184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Nick Harvey</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Nick Harvey</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Financial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Financial and Accounting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393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acet-ex32_1.htm"/>
      <w:bookmarkStart w:id="31" w:name="ksacetex32_1"/>
      <w:bookmarkEnd w:id="30"/>
      <w:bookmarkEnd w:id="3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CERTIFICATIONS OF PRINCIPAL EXECUTIVE OFFICER AND PRINCIPAL FINANCIAL OFFICER PURSUANT TO 18 U.S.C. SECTION 1350, AS ADOPTED PURSUANT TO 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Adicet Bio, Inc. (the “Company”) for the quarter ended June 30, 2026 as filed with the Securities and Exchange Commission on the date hereof (the “Report”), the undersigned hereby certify, pursuant to 18 U.S.C. Section 1350, that, to the best of their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tbl>
      <w:tblPr>
        <w:tblW w:w="5177" w:type="dxa"/>
        <w:jc w:val="left"/>
        <w:tblInd w:w="0" w:type="dxa"/>
        <w:tblLayout w:type="fixed"/>
        <w:tblCellMar>
          <w:top w:w="28" w:type="dxa"/>
          <w:left w:w="28" w:type="dxa"/>
          <w:bottom w:w="28" w:type="dxa"/>
          <w:right w:w="28" w:type="dxa"/>
        </w:tblCellMar>
      </w:tblPr>
      <w:tblGrid>
        <w:gridCol w:w="1846"/>
        <w:gridCol w:w="3331"/>
      </w:tblGrid>
      <w:tr>
        <w:trPr/>
        <w:tc>
          <w:tcPr>
            <w:tcW w:w="184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Chen Schor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Chen Schor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President and Chief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333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5777" w:type="dxa"/>
        <w:jc w:val="left"/>
        <w:tblInd w:w="0" w:type="dxa"/>
        <w:tblLayout w:type="fixed"/>
        <w:tblCellMar>
          <w:top w:w="28" w:type="dxa"/>
          <w:left w:w="28" w:type="dxa"/>
          <w:bottom w:w="28" w:type="dxa"/>
          <w:right w:w="28" w:type="dxa"/>
        </w:tblCellMar>
      </w:tblPr>
      <w:tblGrid>
        <w:gridCol w:w="1846"/>
        <w:gridCol w:w="3931"/>
      </w:tblGrid>
      <w:tr>
        <w:trPr/>
        <w:tc>
          <w:tcPr>
            <w:tcW w:w="184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Nick Harvey</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Nick Harvey</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Financial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Financial and Accounting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393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20580/000172058026000008/acet-ex3_1.htm" TargetMode="External"/><Relationship Id="rId3" Type="http://schemas.openxmlformats.org/officeDocument/2006/relationships/hyperlink" Target="https://www.sec.gov/Archives/edgar/data/0001720580/000119312518025718/d483880dex32.htm" TargetMode="External"/><Relationship Id="rId4" Type="http://schemas.openxmlformats.org/officeDocument/2006/relationships/hyperlink" Target="https://www.sec.gov/Archives/edgar/data/1720580/000119312525232558/acet-ex4_1.htm" TargetMode="External"/><Relationship Id="rId5" Type="http://schemas.openxmlformats.org/officeDocument/2006/relationships/hyperlink" Target="https://www.sec.gov/Archives/edgar/data/1720580/000119312525232558/acet-ex4_1.htm" TargetMode="External"/><Relationship Id="rId6" Type="http://schemas.openxmlformats.org/officeDocument/2006/relationships/hyperlink" Target="https://www.sec.gov/Archives/edgar/data/1720580/000172058026000023/acet-ex4_1.htm" TargetMode="External"/><Relationship Id="rId7" Type="http://schemas.openxmlformats.org/officeDocument/2006/relationships/hyperlink" Target="https://www.sec.gov/Archives/edgar/data/1720580/000172058026000023/acet-ex4_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65728</Words>
  <Characters>367971</Characters>
  <CharactersWithSpaces>433511</CharactersWithSpaces>
  <Paragraphs>5783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