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cet-20260429.htm"/>
      <w:bookmarkStart w:id="1" w:name="ksacet20260429"/>
      <w:bookmarkEnd w:id="0"/>
      <w:bookmarkEnd w:id="1"/>
      <w:r>
        <w:rPr/>
        <w:t> </w:t>
      </w:r>
    </w:p>
    <w:p>
      <w:pPr>
        <w:pStyle w:val="TextBody"/>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b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spacing w:before="160" w:after="283"/>
        <w:jc w:val="center"/>
        <w:rPr>
          <w:rFonts w:ascii="Times New Roman" w:hAnsi="Times New Roman"/>
          <w:sz w:val="20"/>
        </w:rPr>
      </w:pPr>
      <w:r>
        <w:rPr>
          <w:rFonts w:ascii="Times New Roman" w:hAnsi="Times New Roman"/>
          <w:b/>
          <w:color w:val="000000"/>
          <w:sz w:val="28"/>
        </w:rPr>
        <w:t>SCHEDULE 14A</w:t>
      </w:r>
      <w:r>
        <w:rPr>
          <w:rFonts w:ascii="Times New Roman" w:hAnsi="Times New Roman"/>
          <w:color w:val="000000"/>
          <w:sz w:val="20"/>
        </w:rPr>
        <w:t xml:space="preserve"> </w:t>
      </w:r>
      <w:r>
        <w:rPr>
          <w:rFonts w:ascii="Times New Roman" w:hAnsi="Times New Roman"/>
          <w:b/>
          <w:color w:val="000000"/>
          <w:sz w:val="28"/>
        </w:rPr>
        <w:t>INFORMATION</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Proxy Statement Pursuant to Section 14(a) of the</w:t>
        <w:br/>
        <w:t>Securities Exchange Act of 1934</w:t>
      </w:r>
    </w:p>
    <w:p>
      <w:pPr>
        <w:pStyle w:val="TextBody"/>
        <w:bidi w:val="0"/>
        <w:jc w:val="center"/>
        <w:rPr>
          <w:rFonts w:ascii="Times New Roman" w:hAnsi="Times New Roman"/>
          <w:sz w:val="20"/>
        </w:rPr>
      </w:pPr>
      <w:r>
        <w:rPr>
          <w:rFonts w:ascii="Times New Roman" w:hAnsi="Times New Roman"/>
          <w:b/>
          <w:color w:val="000000"/>
          <w:sz w:val="20"/>
        </w:rPr>
        <w:t>(Amendment No.</w:t>
      </w:r>
      <w:r>
        <w:rPr>
          <w:rFonts w:ascii="Times New Roman" w:hAnsi="Times New Roman"/>
          <w:color w:val="000000"/>
          <w:sz w:val="20"/>
        </w:rPr>
        <w:t xml:space="preserve"> </w:t>
      </w:r>
      <w:r>
        <w:rPr>
          <w:rFonts w:ascii="Times New Roman" w:hAnsi="Times New Roman"/>
          <w:b/>
          <w:color w:val="000000"/>
          <w:sz w:val="20"/>
        </w:rPr>
        <w:t>)</w:t>
      </w:r>
    </w:p>
    <w:tbl>
      <w:tblPr>
        <w:tblW w:w="6021" w:type="dxa"/>
        <w:jc w:val="left"/>
        <w:tblInd w:w="0" w:type="dxa"/>
        <w:tblLayout w:type="fixed"/>
        <w:tblCellMar>
          <w:top w:w="28" w:type="dxa"/>
          <w:left w:w="28" w:type="dxa"/>
          <w:bottom w:w="28" w:type="dxa"/>
          <w:right w:w="28" w:type="dxa"/>
        </w:tblCellMar>
      </w:tblPr>
      <w:tblGrid>
        <w:gridCol w:w="2206"/>
        <w:gridCol w:w="3661"/>
        <w:gridCol w:w="154"/>
      </w:tblGrid>
      <w:tr>
        <w:trPr/>
        <w:tc>
          <w:tcPr>
            <w:tcW w:w="220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by the Registrant ☒</w:t>
            </w:r>
          </w:p>
        </w:tc>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by a Party other than the Registrant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rFonts w:ascii="Times New Roman" w:hAnsi="Times New Roman"/>
          <w:color w:val="000000"/>
          <w:sz w:val="20"/>
        </w:rPr>
      </w:pPr>
      <w:r>
        <w:rPr>
          <w:rFonts w:ascii="Times New Roman" w:hAnsi="Times New Roman"/>
          <w:color w:val="000000"/>
          <w:sz w:val="20"/>
        </w:rPr>
        <w:t>Check the appropriate box:</w:t>
      </w:r>
    </w:p>
    <w:p>
      <w:pPr>
        <w:pStyle w:val="TextBody"/>
        <w:bidi w:val="0"/>
        <w:jc w:val="left"/>
        <w:rPr>
          <w:color w:val="000000"/>
        </w:rPr>
      </w:pPr>
      <w:r>
        <w:rPr>
          <w:color w:val="000000"/>
        </w:rPr>
        <w:t xml:space="preserve">☐ </w:t>
      </w:r>
      <w:r>
        <w:rPr>
          <w:rFonts w:ascii="Times New Roman" w:hAnsi="Times New Roman"/>
          <w:color w:val="000000"/>
          <w:sz w:val="20"/>
        </w:rPr>
        <w:t>Preliminary Proxy Statement</w:t>
      </w:r>
    </w:p>
    <w:p>
      <w:pPr>
        <w:pStyle w:val="TextBody"/>
        <w:bidi w:val="0"/>
        <w:spacing w:before="60" w:after="283"/>
        <w:jc w:val="left"/>
        <w:rPr>
          <w:color w:val="000000"/>
        </w:rPr>
      </w:pPr>
      <w:r>
        <w:rPr>
          <w:color w:val="000000"/>
        </w:rPr>
        <w:t xml:space="preserve">☐ </w:t>
      </w:r>
      <w:r>
        <w:rPr>
          <w:rFonts w:ascii="Times New Roman" w:hAnsi="Times New Roman"/>
          <w:color w:val="000000"/>
          <w:sz w:val="20"/>
        </w:rPr>
        <w:t>Confidential, for Use of the Commission Only (as permitted by Rule 14a-6(e)(2))</w:t>
      </w:r>
    </w:p>
    <w:p>
      <w:pPr>
        <w:pStyle w:val="TextBody"/>
        <w:bidi w:val="0"/>
        <w:spacing w:before="60" w:after="283"/>
        <w:jc w:val="left"/>
        <w:rPr>
          <w:color w:val="000000"/>
        </w:rPr>
      </w:pPr>
      <w:r>
        <w:rPr>
          <w:color w:val="000000"/>
        </w:rPr>
        <w:t xml:space="preserve">☐ </w:t>
      </w:r>
      <w:r>
        <w:rPr>
          <w:rFonts w:ascii="Times New Roman" w:hAnsi="Times New Roman"/>
          <w:color w:val="000000"/>
          <w:sz w:val="20"/>
        </w:rPr>
        <w:t>Definitive Proxy Statement</w:t>
      </w:r>
    </w:p>
    <w:p>
      <w:pPr>
        <w:pStyle w:val="TextBody"/>
        <w:bidi w:val="0"/>
        <w:spacing w:before="60" w:after="283"/>
        <w:jc w:val="left"/>
        <w:rPr>
          <w:color w:val="000000"/>
        </w:rPr>
      </w:pPr>
      <w:r>
        <w:rPr>
          <w:color w:val="000000"/>
        </w:rPr>
        <w:t xml:space="preserve">☒ </w:t>
      </w:r>
      <w:r>
        <w:rPr>
          <w:rFonts w:ascii="Times New Roman" w:hAnsi="Times New Roman"/>
          <w:color w:val="000000"/>
          <w:sz w:val="20"/>
        </w:rPr>
        <w:t>Definitive Additional Materials</w:t>
      </w:r>
    </w:p>
    <w:p>
      <w:pPr>
        <w:pStyle w:val="TextBody"/>
        <w:bidi w:val="0"/>
        <w:spacing w:before="60" w:after="283"/>
        <w:jc w:val="left"/>
        <w:rPr>
          <w:color w:val="000000"/>
        </w:rPr>
      </w:pPr>
      <w:r>
        <w:rPr>
          <w:color w:val="000000"/>
        </w:rPr>
        <w:t xml:space="preserve">☐ </w:t>
      </w:r>
      <w:r>
        <w:rPr>
          <w:rFonts w:ascii="Times New Roman" w:hAnsi="Times New Roman"/>
          <w:color w:val="000000"/>
          <w:sz w:val="20"/>
        </w:rPr>
        <w:t>Soliciting Material under §240.14a-12</w:t>
      </w:r>
    </w:p>
    <w:p>
      <w:pPr>
        <w:pStyle w:val="TextBody"/>
        <w:bidi w:val="0"/>
        <w:spacing w:before="160" w:after="283"/>
        <w:jc w:val="center"/>
        <w:rPr>
          <w:rFonts w:ascii="Times New Roman" w:hAnsi="Times New Roman"/>
          <w:b/>
          <w:color w:val="000000"/>
          <w:sz w:val="44"/>
        </w:rPr>
      </w:pPr>
      <w:r>
        <w:rPr>
          <w:rFonts w:ascii="Times New Roman" w:hAnsi="Times New Roman"/>
          <w:b/>
          <w:color w:val="000000"/>
          <w:sz w:val="44"/>
        </w:rPr>
        <w:t>Adicet Bio, Inc.</w:t>
      </w:r>
    </w:p>
    <w:p>
      <w:pPr>
        <w:pStyle w:val="TextBody"/>
        <w:bidi w:val="0"/>
        <w:jc w:val="center"/>
        <w:rPr>
          <w:rFonts w:ascii="Times New Roman" w:hAnsi="Times New Roman"/>
          <w:b/>
          <w:color w:val="000000"/>
          <w:sz w:val="20"/>
        </w:rPr>
      </w:pPr>
      <w:r>
        <w:rPr>
          <w:rFonts w:ascii="Times New Roman" w:hAnsi="Times New Roman"/>
          <w:b/>
          <w:color w:val="000000"/>
          <w:sz w:val="20"/>
        </w:rPr>
        <w:t>(Name of Registrant as Specified in its Charter)</w:t>
      </w:r>
    </w:p>
    <w:p>
      <w:pPr>
        <w:pStyle w:val="TextBody"/>
        <w:bidi w:val="0"/>
        <w:jc w:val="center"/>
        <w:rPr/>
      </w:pPr>
      <w:r>
        <w:rPr/>
        <w:t> </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(Name of Person(s) Filing Proxy Statement, if other than the Registrant)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Payment of Filing Fee (Check all boxes that apply):</w:t>
      </w:r>
    </w:p>
    <w:tbl>
      <w:tblPr>
        <w:tblW w:w="9602" w:type="dxa"/>
        <w:jc w:val="left"/>
        <w:tblInd w:w="0" w:type="dxa"/>
        <w:tblLayout w:type="fixed"/>
        <w:tblCellMar>
          <w:top w:w="28" w:type="dxa"/>
          <w:left w:w="28" w:type="dxa"/>
          <w:bottom w:w="28" w:type="dxa"/>
          <w:right w:w="28" w:type="dxa"/>
        </w:tblCellMar>
      </w:tblPr>
      <w:tblGrid>
        <w:gridCol w:w="391"/>
        <w:gridCol w:w="9211"/>
      </w:tblGrid>
      <w:tr>
        <w:trPr/>
        <w:tc>
          <w:tcPr>
            <w:tcW w:w="391" w:type="dxa"/>
            <w:tcBorders/>
            <w:vAlign w:val="center"/>
          </w:tcPr>
          <w:p>
            <w:pPr>
              <w:pStyle w:val="TableContents"/>
              <w:bidi w:val="0"/>
              <w:spacing w:before="0" w:after="283"/>
              <w:jc w:val="left"/>
              <w:rPr>
                <w:sz w:val="4"/>
                <w:szCs w:val="4"/>
              </w:rPr>
            </w:pPr>
            <w:r>
              <w:rPr>
                <w:sz w:val="4"/>
                <w:szCs w:val="4"/>
              </w:rPr>
            </w:r>
          </w:p>
        </w:tc>
        <w:tc>
          <w:tcPr>
            <w:tcW w:w="9211" w:type="dxa"/>
            <w:tcBorders/>
            <w:vAlign w:val="center"/>
          </w:tcPr>
          <w:p>
            <w:pPr>
              <w:pStyle w:val="TableContents"/>
              <w:bidi w:val="0"/>
              <w:spacing w:before="0" w:after="283"/>
              <w:jc w:val="left"/>
              <w:rPr>
                <w:sz w:val="4"/>
                <w:szCs w:val="4"/>
              </w:rPr>
            </w:pPr>
            <w:r>
              <w:rPr>
                <w:sz w:val="4"/>
                <w:szCs w:val="4"/>
              </w:rPr>
            </w:r>
          </w:p>
        </w:tc>
      </w:tr>
      <w:tr>
        <w:trPr/>
        <w:tc>
          <w:tcPr>
            <w:tcW w:w="39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2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No fee required</w:t>
            </w:r>
          </w:p>
        </w:tc>
      </w:tr>
      <w:tr>
        <w:trPr/>
        <w:tc>
          <w:tcPr>
            <w:tcW w:w="39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2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Fee paid previously with preliminary materials</w:t>
            </w:r>
          </w:p>
        </w:tc>
      </w:tr>
      <w:tr>
        <w:trPr/>
        <w:tc>
          <w:tcPr>
            <w:tcW w:w="39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 xml:space="preserve">☐ </w:t>
            </w:r>
          </w:p>
        </w:tc>
        <w:tc>
          <w:tcPr>
            <w:tcW w:w="92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Fee computed on table in exhibit required by Item 25(b) per Securities Exchange Act Rules 14a-6(i)(1) and 0-11</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5819775" cy="7429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819775" cy="7429500"/>
                    </a:xfrm>
                    <a:prstGeom prst="rect">
                      <a:avLst/>
                    </a:prstGeom>
                  </pic:spPr>
                </pic:pic>
              </a:graphicData>
            </a:graphic>
          </wp:inline>
        </w:drawing>
      </w:r>
    </w:p>
    <w:p>
      <w:pPr>
        <w:pStyle w:val="TextBody"/>
        <w:bidi w:val="0"/>
        <w:jc w:val="left"/>
        <w:rPr>
          <w:rFonts w:ascii="Times New Roman" w:hAnsi="Times New Roman"/>
          <w:sz w:val="20"/>
        </w:rPr>
      </w:pPr>
      <w:r>
        <w:rPr>
          <w:rFonts w:ascii="Times New Roman" w:hAnsi="Times New Roman"/>
          <w:color w:val="FFFFFF"/>
          <w:sz w:val="2"/>
        </w:rPr>
        <w:t>Your Vote Counts! ADICET BIO, INC. 2026 Annual Meeting Vote by June 16, 2026 11:59 PM ET ADICET BIO, INC. 131 DARTMOUTH STREET, FLOOR 3 BOSTON, MASSACHUSETTS 02116 V95836-P51644 You invested in ADICET BIO, INC. and it’s time to vote! You have the right to vote on proposals being presented at the Annual Meeting. This is an important notice regarding the availability of proxy materials for the stockholder meeting to be held on June 17, 2026. Get informed before you vote View the Notice and Proxy Statement and Annual Report online OR you can receive a free paper or email copy of the material(s) by requesting prior to June 3, 2026.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 For complete information and to vote, visit www.ProxyVote.com Control # Smartphone users Point your camera here and vote without entering a control number Vote Virtually at the Meeting* June 17, 2026 5:00 PM EDT Virtually at: www.virtualshareholdermeeting.com/ACET2026 *Please check the meeting materials for any special requirements for meeting attendance.</w:t>
      </w:r>
      <w:r>
        <w:rPr>
          <w:rFonts w:ascii="Times New Roman" w:hAnsi="Times New Roman"/>
          <w:color w:val="FFFFFF"/>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5781675" cy="7543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81675" cy="7543800"/>
                    </a:xfrm>
                    <a:prstGeom prst="rect">
                      <a:avLst/>
                    </a:prstGeom>
                  </pic:spPr>
                </pic:pic>
              </a:graphicData>
            </a:graphic>
          </wp:inline>
        </w:drawing>
      </w:r>
    </w:p>
    <w:p>
      <w:pPr>
        <w:pStyle w:val="TextBody"/>
        <w:bidi w:val="0"/>
        <w:jc w:val="left"/>
        <w:rPr>
          <w:rFonts w:ascii="Times New Roman" w:hAnsi="Times New Roman"/>
          <w:sz w:val="20"/>
        </w:rPr>
      </w:pPr>
      <w:r>
        <w:rPr>
          <w:rFonts w:ascii="Times New Roman" w:hAnsi="Times New Roman"/>
          <w:color w:val="FFFFFF"/>
          <w:sz w:val="2"/>
        </w:rPr>
        <w:t>THIS IS NOT A VOTABLE BALLOT This is an overview of the proposals being presented at the upcoming stockholder meeting. Please follow the instructions on the reverse side to vote these important matters. Voting Items Board Recommends 1. To elect three class II directors, to serve for a three-year term ending at the Annual Meeting of Stockholders to be held in 2029. Nominees: For 01) Jeffrey Chodakewitz, M.D. 02) Steve Dubin, J.D. 03) Michael Grissinger 2. To ratify, on a non-binding advisory basis, the compensation of our named executive officers. For 3. To ratify the appointment of KPMG LLP as the Company’s independent registered public accounting firm for the fiscal year ending December 31, 2026. For NOTE: Such other business as may properly come before the meeting or any adjournment thereof. Prefer to receive an email instead? While voting on www.ProxyVote.com, be sure to click “Delivery Settings”.</w:t>
      </w:r>
      <w:r>
        <w:rPr>
          <w:rFonts w:ascii="Times New Roman" w:hAnsi="Times New Roman"/>
          <w:color w:val="FFFFFF"/>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503</Words>
  <Characters>2664</Characters>
  <CharactersWithSpaces>3167</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